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2E94B77E"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w:t>
      </w:r>
      <w:r w:rsidRPr="009303AB">
        <w:rPr>
          <w:lang w:val="en-GB"/>
        </w:rPr>
        <w:t>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w:t>
      </w:r>
      <w:r w:rsidR="002268F0" w:rsidRPr="009303AB">
        <w:rPr>
          <w:lang w:val="en-GB"/>
        </w:rPr>
        <w:t xml:space="preserve"> those listed in the Annex </w:t>
      </w:r>
      <w:r w:rsidR="009303AB" w:rsidRPr="009303AB">
        <w:rPr>
          <w:lang w:val="en-GB"/>
        </w:rPr>
        <w:t>A</w:t>
      </w:r>
      <w:r w:rsidR="002268F0" w:rsidRPr="009303AB">
        <w:rPr>
          <w:lang w:val="en-GB"/>
        </w:rPr>
        <w:t>)</w:t>
      </w:r>
      <w:r w:rsidRPr="009303AB">
        <w:rPr>
          <w:lang w:val="en-GB"/>
        </w:rPr>
        <w:t xml:space="preserve">, have already shown the concrete results of equipping young people with concrete </w:t>
      </w:r>
      <w:proofErr w:type="gramStart"/>
      <w:r w:rsidRPr="009303AB">
        <w:rPr>
          <w:lang w:val="en-GB"/>
        </w:rPr>
        <w:t>skills</w:t>
      </w:r>
      <w:proofErr w:type="gramEnd"/>
      <w:r w:rsidRPr="009303AB">
        <w:rPr>
          <w:lang w:val="en-GB"/>
        </w:rPr>
        <w:t xml:space="preserve"> and giving them concrete</w:t>
      </w:r>
      <w:r w:rsidRPr="00AF4F70">
        <w:rPr>
          <w:lang w:val="en-GB"/>
        </w:rPr>
        <w:t xml:space="preserv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establishing </w:t>
      </w:r>
      <w:r w:rsidRPr="00D75F30">
        <w:rPr>
          <w:rFonts w:cstheme="minorHAnsi"/>
          <w:lang w:val="en-GB"/>
        </w:rPr>
        <w:t>EUSAIR Youth Council started</w:t>
      </w:r>
      <w:r>
        <w:rPr>
          <w:rFonts w:cstheme="minorHAnsi"/>
          <w:lang w:val="en-GB"/>
        </w:rPr>
        <w:t xml:space="preserve"> under the EUSAIR Presidency of Bosnia and Herzegovina, </w:t>
      </w:r>
      <w:proofErr w:type="gramStart"/>
      <w:r>
        <w:rPr>
          <w:rFonts w:cstheme="minorHAnsi"/>
          <w:lang w:val="en-GB"/>
        </w:rPr>
        <w:t>continued</w:t>
      </w:r>
      <w:proofErr w:type="gramEnd"/>
      <w:r>
        <w:rPr>
          <w:rFonts w:cstheme="minorHAnsi"/>
          <w:lang w:val="en-GB"/>
        </w:rPr>
        <w:t xml:space="preserve">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475DDC5A"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onsultation process was led by the EUSAIR Youth Consultation Task Force.</w:t>
      </w:r>
      <w:r w:rsidR="00331809">
        <w:rPr>
          <w:rFonts w:cstheme="minorHAnsi"/>
          <w:lang w:val="en-GB"/>
        </w:rPr>
        <w:t xml:space="preserve"> 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lastRenderedPageBreak/>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39A44AEC"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41CE0A64" w:rsidR="00925296" w:rsidRDefault="00FF7FC0" w:rsidP="00A65D16">
      <w:pPr>
        <w:spacing w:before="240" w:after="240" w:line="276" w:lineRule="auto"/>
        <w:jc w:val="both"/>
        <w:rPr>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r w:rsidR="00E40348">
        <w:rPr>
          <w:rFonts w:cstheme="minorHAnsi"/>
          <w:lang w:val="en-GB"/>
        </w:rPr>
        <w:t>30</w:t>
      </w:r>
      <w:r w:rsidR="0043135A" w:rsidRPr="006F04F6">
        <w:rPr>
          <w:vertAlign w:val="superscript"/>
          <w:lang w:val="en-GB"/>
        </w:rPr>
        <w:t>th</w:t>
      </w:r>
      <w:r w:rsidR="0043135A">
        <w:rPr>
          <w:rFonts w:cstheme="minorHAnsi"/>
          <w:lang w:val="en-GB"/>
        </w:rPr>
        <w:t xml:space="preserve"> birthday</w:t>
      </w:r>
      <w:r w:rsidR="00E40348">
        <w:rPr>
          <w:rFonts w:cstheme="minorHAnsi"/>
          <w:lang w:val="en-GB"/>
        </w:rPr>
        <w:t xml:space="preserve">, they can complete their mandate, </w:t>
      </w:r>
      <w:proofErr w:type="gramStart"/>
      <w:r w:rsidR="00E40348">
        <w:rPr>
          <w:rFonts w:cstheme="minorHAnsi"/>
          <w:lang w:val="en-GB"/>
        </w:rPr>
        <w:t>however</w:t>
      </w:r>
      <w:proofErr w:type="gramEnd"/>
      <w:r w:rsidR="00E40348">
        <w:rPr>
          <w:rFonts w:cstheme="minorHAnsi"/>
          <w:lang w:val="en-GB"/>
        </w:rPr>
        <w:t xml:space="preserve"> not extend it. </w:t>
      </w:r>
    </w:p>
    <w:p w14:paraId="1860252E" w14:textId="2FA65CAB" w:rsidR="00665126" w:rsidRPr="009303AB" w:rsidRDefault="0036165C" w:rsidP="00665126">
      <w:pPr>
        <w:spacing w:before="240" w:after="240"/>
        <w:jc w:val="both"/>
        <w:rPr>
          <w:b/>
          <w:lang w:val="en-GB"/>
        </w:rPr>
      </w:pPr>
      <w:r w:rsidRPr="009303AB">
        <w:rPr>
          <w:b/>
          <w:lang w:val="en-GB"/>
        </w:rPr>
        <w:t>Gender equality</w:t>
      </w:r>
    </w:p>
    <w:p w14:paraId="3B7F0B0F" w14:textId="7FB9DA13" w:rsidR="00665126" w:rsidRDefault="00F42F35" w:rsidP="00665126">
      <w:pPr>
        <w:spacing w:before="240" w:after="240"/>
        <w:jc w:val="both"/>
        <w:rPr>
          <w:rFonts w:cstheme="minorHAnsi"/>
          <w:b/>
          <w:bCs/>
          <w:lang w:val="en-GB"/>
        </w:rPr>
      </w:pPr>
      <w:r w:rsidRPr="009303AB">
        <w:rPr>
          <w:lang w:val="en-GB"/>
        </w:rPr>
        <w:t>Consistently with the EU Strategy for gender equality 2020-2025,</w:t>
      </w:r>
      <w:r w:rsidR="00665126" w:rsidRPr="009303AB">
        <w:rPr>
          <w:lang w:val="en-GB"/>
        </w:rPr>
        <w:t xml:space="preserve"> </w:t>
      </w:r>
      <w:r w:rsidR="0036165C" w:rsidRPr="009303AB">
        <w:rPr>
          <w:lang w:val="en-GB"/>
        </w:rPr>
        <w:t>the EYC shall be as much inclusive and balanced as possible in its composition.</w:t>
      </w:r>
    </w:p>
    <w:p w14:paraId="18716669" w14:textId="77777777" w:rsidR="00665126" w:rsidRDefault="00665126"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w:t>
      </w:r>
      <w:proofErr w:type="gramStart"/>
      <w:r>
        <w:rPr>
          <w:lang w:val="en-GB"/>
        </w:rPr>
        <w:t>Force</w:t>
      </w:r>
      <w:proofErr w:type="gramEnd"/>
      <w:r>
        <w:rPr>
          <w:lang w:val="en-GB"/>
        </w:rPr>
        <w:t xml:space="preserve"> and carried out by the Facility Point. </w:t>
      </w:r>
      <w:r w:rsidR="0089022F">
        <w:rPr>
          <w:lang w:val="en-GB"/>
        </w:rPr>
        <w:t>Here only the basic outline of the process is foreseen.</w:t>
      </w:r>
    </w:p>
    <w:p w14:paraId="0A0253D8" w14:textId="04C16452" w:rsidR="008C526D" w:rsidRPr="006F04F6" w:rsidRDefault="008C526D" w:rsidP="006F04F6">
      <w:pPr>
        <w:jc w:val="both"/>
        <w:rPr>
          <w:b/>
          <w:lang w:val="en-GB"/>
        </w:rPr>
      </w:pPr>
      <w:r w:rsidRPr="006F04F6">
        <w:rPr>
          <w:b/>
          <w:lang w:val="en-GB"/>
        </w:rPr>
        <w:t>Call duration</w:t>
      </w:r>
    </w:p>
    <w:p w14:paraId="33F57CC8" w14:textId="7C834DDF" w:rsidR="008C526D" w:rsidRDefault="00535C3D" w:rsidP="008C526D">
      <w:pPr>
        <w:jc w:val="both"/>
        <w:rPr>
          <w:lang w:val="en-GB"/>
        </w:rPr>
      </w:pPr>
      <w:r>
        <w:rPr>
          <w:lang w:val="en-GB"/>
        </w:rPr>
        <w:lastRenderedPageBreak/>
        <w:t xml:space="preserve">To receive a substantial number of </w:t>
      </w:r>
      <w:r w:rsidR="008C526D">
        <w:rPr>
          <w:lang w:val="en-GB"/>
        </w:rPr>
        <w:t xml:space="preserve">quality </w:t>
      </w:r>
      <w:r>
        <w:rPr>
          <w:lang w:val="en-GB"/>
        </w:rPr>
        <w:t>applications, the Call shall be opened for</w:t>
      </w:r>
      <w:r w:rsidRPr="00983C5D">
        <w:rPr>
          <w:b/>
          <w:bCs/>
          <w:lang w:val="en-GB"/>
        </w:rPr>
        <w:t xml:space="preserve"> </w:t>
      </w:r>
      <w:r w:rsidR="00983C5D" w:rsidRPr="00983C5D">
        <w:rPr>
          <w:b/>
          <w:bCs/>
          <w:color w:val="FF0000"/>
          <w:lang w:val="en-GB"/>
        </w:rPr>
        <w:t>2</w:t>
      </w:r>
      <w:r w:rsidR="00983C5D" w:rsidRPr="00983C5D">
        <w:rPr>
          <w:color w:val="FF0000"/>
          <w:lang w:val="en-GB"/>
        </w:rPr>
        <w:t xml:space="preserve"> </w:t>
      </w:r>
      <w:r w:rsidR="00983C5D">
        <w:rPr>
          <w:lang w:val="en-GB"/>
        </w:rPr>
        <w:t>months</w:t>
      </w:r>
      <w:r>
        <w:rPr>
          <w:lang w:val="en-GB"/>
        </w:rPr>
        <w:t xml:space="preserve">.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t>Communication campaign</w:t>
      </w:r>
    </w:p>
    <w:p w14:paraId="114A347D" w14:textId="2D9B8183" w:rsidR="00535C3D" w:rsidRDefault="008C526D" w:rsidP="008C526D">
      <w:pPr>
        <w:jc w:val="both"/>
        <w:rPr>
          <w:lang w:val="en-GB"/>
        </w:rPr>
      </w:pPr>
      <w:r>
        <w:rPr>
          <w:lang w:val="en-GB"/>
        </w:rPr>
        <w:t xml:space="preserve">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w:t>
      </w:r>
      <w:r w:rsidRPr="00044EEC">
        <w:rPr>
          <w:lang w:val="en-GB"/>
        </w:rPr>
        <w:t>F</w:t>
      </w:r>
      <w:r w:rsidR="0089022F" w:rsidRPr="00044EEC">
        <w:rPr>
          <w:lang w:val="en-GB"/>
        </w:rPr>
        <w:t>acility Point</w:t>
      </w:r>
      <w:r w:rsidRPr="00044EEC">
        <w:rPr>
          <w:lang w:val="en-GB"/>
        </w:rPr>
        <w:t xml:space="preserve"> project</w:t>
      </w:r>
      <w:r w:rsidR="0089022F" w:rsidRPr="00044EEC">
        <w:rPr>
          <w:lang w:val="en-GB"/>
        </w:rPr>
        <w:t>, assisted by</w:t>
      </w:r>
      <w:r w:rsidR="0089022F">
        <w:rPr>
          <w:lang w:val="en-GB"/>
        </w:rPr>
        <w:t xml:space="preserve">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7FC0D716"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w:t>
      </w:r>
      <w:r w:rsidR="002E49F3" w:rsidRPr="009303AB">
        <w:rPr>
          <w:rFonts w:cstheme="minorHAnsi"/>
          <w:lang w:val="en-GB"/>
        </w:rPr>
        <w:t>questions regarding</w:t>
      </w:r>
      <w:r w:rsidRPr="009303AB">
        <w:rPr>
          <w:rFonts w:cstheme="minorHAnsi"/>
          <w:lang w:val="en-GB"/>
        </w:rPr>
        <w:t xml:space="preserve"> the thematic interest (educational or professional) in the topics of EUSAIR Pillars</w:t>
      </w:r>
      <w:r w:rsidR="00617D57" w:rsidRPr="009303AB">
        <w:rPr>
          <w:rFonts w:cstheme="minorHAnsi"/>
          <w:lang w:val="en-GB"/>
        </w:rPr>
        <w:t xml:space="preserve"> including the horizontal and cross-cutting topics</w:t>
      </w:r>
      <w:r w:rsidRPr="009303AB">
        <w:rPr>
          <w:rFonts w:cstheme="minorHAnsi"/>
          <w:lang w:val="en-GB"/>
        </w:rPr>
        <w:t>, activism in civil society, membership in youth organisations</w:t>
      </w:r>
      <w:r>
        <w:rPr>
          <w:rFonts w:cstheme="minorHAnsi"/>
          <w:lang w:val="en-GB"/>
        </w:rPr>
        <w:t xml:space="preserve">, </w:t>
      </w:r>
      <w:r w:rsidRPr="00F42F35">
        <w:rPr>
          <w:rFonts w:cstheme="minorHAnsi"/>
          <w:lang w:val="en-GB"/>
        </w:rPr>
        <w:t xml:space="preserve">rural/urban </w:t>
      </w:r>
      <w:proofErr w:type="gramStart"/>
      <w:r>
        <w:rPr>
          <w:rFonts w:cstheme="minorHAnsi"/>
          <w:lang w:val="en-GB"/>
        </w:rPr>
        <w:t>residency</w:t>
      </w:r>
      <w:proofErr w:type="gramEnd"/>
      <w:r>
        <w:rPr>
          <w:rFonts w:cstheme="minorHAnsi"/>
          <w:lang w:val="en-GB"/>
        </w:rPr>
        <w:t xml:space="preserve">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Pr="00D75F30"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21E69A2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Why are you interested in joining the EUSAIR Youth Council?</w:t>
      </w:r>
    </w:p>
    <w:p w14:paraId="26B3F80C" w14:textId="77777777" w:rsidR="0089022F"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are your long-term personal and professional goals, and how does being a part of the EUSAIR Youth Council align with these aspirations?</w:t>
      </w:r>
    </w:p>
    <w:p w14:paraId="613FBB3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skills, experiences, or achievements do you possess that make you a suitable candidate for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63F8E037" w14:textId="004647D0" w:rsidR="00874297" w:rsidRPr="00D75F30"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 </w:t>
      </w:r>
      <w:r w:rsidR="00424CEA" w:rsidRPr="00D75F30">
        <w:rPr>
          <w:rFonts w:cstheme="minorHAnsi"/>
          <w:b/>
          <w:bCs/>
          <w:lang w:val="en-GB"/>
        </w:rPr>
        <w:t xml:space="preserve"> </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lastRenderedPageBreak/>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25106068"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The applicant should not be a member of political party on interest group</w:t>
      </w:r>
      <w:r>
        <w:rPr>
          <w:rFonts w:cstheme="minorHAnsi"/>
          <w:lang w:val="en-GB"/>
        </w:rPr>
        <w:t>.</w:t>
      </w:r>
    </w:p>
    <w:p w14:paraId="79FCC266" w14:textId="4502EFFB"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BD557D" w14:textId="77777777" w:rsidR="00665126" w:rsidRDefault="00665126" w:rsidP="00F42F35">
      <w:pPr>
        <w:pStyle w:val="ListParagraph"/>
        <w:numPr>
          <w:ilvl w:val="0"/>
          <w:numId w:val="13"/>
        </w:numPr>
        <w:spacing w:before="240" w:after="240" w:line="276" w:lineRule="auto"/>
        <w:jc w:val="both"/>
        <w:rPr>
          <w:rFonts w:cstheme="minorHAnsi"/>
          <w:lang w:val="en-GB"/>
        </w:rPr>
      </w:pPr>
    </w:p>
    <w:p w14:paraId="1CEAEDCE" w14:textId="564E9BD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5C178F64" w:rsidR="00240D91" w:rsidRPr="00D75F30" w:rsidRDefault="008416C3" w:rsidP="00A65D16">
      <w:pPr>
        <w:spacing w:before="240" w:after="240" w:line="276" w:lineRule="auto"/>
        <w:jc w:val="both"/>
        <w:rPr>
          <w:rFonts w:cstheme="minorHAnsi"/>
          <w:lang w:val="en-GB"/>
        </w:rPr>
      </w:pPr>
      <w:r w:rsidRPr="00D75F30">
        <w:rPr>
          <w:rFonts w:cstheme="minorHAnsi"/>
          <w:lang w:val="en-GB"/>
        </w:rPr>
        <w:t>A</w:t>
      </w:r>
      <w:r w:rsidR="00CA6992" w:rsidRPr="00D75F30">
        <w:rPr>
          <w:rFonts w:cstheme="minorHAnsi"/>
          <w:lang w:val="en-GB"/>
        </w:rPr>
        <w:t xml:space="preserve">n algorithm </w:t>
      </w:r>
      <w:r w:rsidRPr="00D75F30">
        <w:rPr>
          <w:rFonts w:cstheme="minorHAnsi"/>
          <w:lang w:val="en-GB"/>
        </w:rPr>
        <w:t xml:space="preserve">will </w:t>
      </w:r>
      <w:r w:rsidR="00E40348">
        <w:rPr>
          <w:rFonts w:cstheme="minorHAnsi"/>
          <w:lang w:val="en-GB"/>
        </w:rPr>
        <w:t xml:space="preserve">select </w:t>
      </w:r>
      <w:r w:rsidR="00CA6992" w:rsidRPr="00D75F30">
        <w:rPr>
          <w:rFonts w:cstheme="minorHAnsi"/>
          <w:lang w:val="en-GB"/>
        </w:rPr>
        <w:t>the final list</w:t>
      </w:r>
      <w:r w:rsidR="00E636D6" w:rsidRPr="00D75F30">
        <w:rPr>
          <w:rFonts w:cstheme="minorHAnsi"/>
          <w:lang w:val="en-GB"/>
        </w:rPr>
        <w:t xml:space="preserve"> </w:t>
      </w:r>
      <w:r w:rsidR="00027C7E">
        <w:rPr>
          <w:rFonts w:cstheme="minorHAnsi"/>
          <w:lang w:val="en-GB"/>
        </w:rPr>
        <w:t>of candidates for</w:t>
      </w:r>
      <w:r w:rsidR="00E636D6" w:rsidRPr="00D75F30">
        <w:rPr>
          <w:rFonts w:cstheme="minorHAnsi"/>
          <w:lang w:val="en-GB"/>
        </w:rPr>
        <w:t xml:space="preserve"> Youth Council memb</w:t>
      </w:r>
      <w:r w:rsidR="00027C7E">
        <w:rPr>
          <w:rFonts w:cstheme="minorHAnsi"/>
          <w:lang w:val="en-GB"/>
        </w:rPr>
        <w:t>ership</w:t>
      </w:r>
      <w:r w:rsidR="00CA6992" w:rsidRPr="00D75F30">
        <w:rPr>
          <w:rFonts w:cstheme="minorHAnsi"/>
          <w:lang w:val="en-GB"/>
        </w:rPr>
        <w:t>.</w:t>
      </w:r>
      <w:r w:rsidRPr="00D75F30">
        <w:rPr>
          <w:rFonts w:cstheme="minorHAnsi"/>
          <w:lang w:val="en-GB"/>
        </w:rPr>
        <w:t xml:space="preserve"> From the list of eligible and most motivated applicants an algorithm </w:t>
      </w:r>
      <w:r w:rsidR="00E636D6" w:rsidRPr="00D75F30">
        <w:rPr>
          <w:rFonts w:cstheme="minorHAnsi"/>
          <w:lang w:val="en-GB"/>
        </w:rPr>
        <w:t xml:space="preserve">will select the </w:t>
      </w:r>
      <w:r w:rsidR="00E40348">
        <w:rPr>
          <w:rFonts w:cstheme="minorHAnsi"/>
          <w:lang w:val="en-GB"/>
        </w:rPr>
        <w:t xml:space="preserve">candidate </w:t>
      </w:r>
      <w:r w:rsidR="00E636D6" w:rsidRPr="00D75F30">
        <w:rPr>
          <w:rFonts w:cstheme="minorHAnsi"/>
          <w:lang w:val="en-GB"/>
        </w:rPr>
        <w:t xml:space="preserve">list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0A762D" w:rsidRPr="00D75F30">
        <w:rPr>
          <w:rFonts w:cstheme="minorHAnsi"/>
          <w:lang w:val="en-GB"/>
        </w:rPr>
        <w:t>.</w:t>
      </w:r>
      <w:r w:rsidR="0076624E" w:rsidRPr="00D75F30">
        <w:rPr>
          <w:rFonts w:cstheme="minorHAnsi"/>
          <w:lang w:val="en-GB"/>
        </w:rPr>
        <w:t xml:space="preserve"> </w:t>
      </w:r>
      <w:r w:rsidR="001759D1" w:rsidRPr="00D75F30">
        <w:rPr>
          <w:rFonts w:cstheme="minorHAnsi"/>
          <w:lang w:val="en-GB"/>
        </w:rPr>
        <w:t xml:space="preserve">There should be attention 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w:t>
      </w:r>
      <w:r w:rsidR="00617D57">
        <w:rPr>
          <w:rFonts w:cstheme="minorHAnsi"/>
          <w:lang w:val="en-GB"/>
        </w:rPr>
        <w:t xml:space="preserve"> </w:t>
      </w:r>
      <w:r w:rsidR="001759D1" w:rsidRPr="00D75F30">
        <w:rPr>
          <w:rFonts w:cstheme="minorHAnsi"/>
          <w:lang w:val="en-GB"/>
        </w:rPr>
        <w:t>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194A05"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D75F30">
        <w:rPr>
          <w:rFonts w:cstheme="minorHAnsi"/>
          <w:lang w:val="en-GB"/>
        </w:rPr>
        <w:t>in a</w:t>
      </w:r>
      <w:r w:rsidRPr="00D75F30">
        <w:rPr>
          <w:rFonts w:cstheme="minorHAnsi"/>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w:t>
      </w:r>
      <w:r w:rsidR="000D60B0" w:rsidRPr="00194A05">
        <w:rPr>
          <w:rFonts w:cstheme="minorHAnsi"/>
          <w:b/>
          <w:bCs/>
          <w:lang w:val="en-GB"/>
        </w:rPr>
        <w:t>EUSAIR governance structures would provide their feedback and clear follow-up.</w:t>
      </w:r>
      <w:r w:rsidR="000D60B0" w:rsidRPr="00194A05">
        <w:rPr>
          <w:rFonts w:cstheme="minorHAnsi"/>
          <w:lang w:val="en-GB"/>
        </w:rPr>
        <w:t xml:space="preserve">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2F0E1A81" w14:textId="11865184" w:rsidR="00F86381" w:rsidRPr="00D75F30" w:rsidRDefault="00F86381" w:rsidP="00A65D16">
      <w:pPr>
        <w:spacing w:before="240" w:after="240" w:line="276" w:lineRule="auto"/>
        <w:jc w:val="both"/>
        <w:rPr>
          <w:rFonts w:cstheme="minorHAnsi"/>
          <w:lang w:val="en-GB"/>
        </w:rPr>
      </w:pPr>
      <w:r w:rsidRPr="00D75F30">
        <w:rPr>
          <w:rFonts w:cstheme="minorHAnsi"/>
          <w:lang w:val="en-GB"/>
        </w:rPr>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 xml:space="preserve">alling under the </w:t>
      </w:r>
      <w:r w:rsidR="002B3EC6" w:rsidRPr="009303AB">
        <w:rPr>
          <w:rFonts w:cstheme="minorHAnsi"/>
          <w:lang w:val="en-GB"/>
        </w:rPr>
        <w:t>EUSAIR Pillars</w:t>
      </w:r>
      <w:r w:rsidR="00617D57" w:rsidRPr="009303AB">
        <w:rPr>
          <w:rFonts w:cstheme="minorHAnsi"/>
          <w:lang w:val="en-GB"/>
        </w:rPr>
        <w:t>, including the horizontal and cross-cutting topics</w:t>
      </w:r>
      <w:r w:rsidR="00A17B6F" w:rsidRPr="009303AB">
        <w:rPr>
          <w:rFonts w:cstheme="minorHAnsi"/>
          <w:lang w:val="en-GB"/>
        </w:rPr>
        <w:t>,</w:t>
      </w:r>
      <w:r w:rsidR="002B3EC6" w:rsidRPr="009303AB">
        <w:rPr>
          <w:rFonts w:cstheme="minorHAnsi"/>
          <w:lang w:val="en-GB"/>
        </w:rPr>
        <w:t xml:space="preserve"> 2. </w:t>
      </w:r>
      <w:r w:rsidRPr="009303AB">
        <w:rPr>
          <w:rFonts w:cstheme="minorHAnsi"/>
          <w:lang w:val="en-GB"/>
        </w:rPr>
        <w:t xml:space="preserve">youth-specific </w:t>
      </w:r>
      <w:r w:rsidR="00C910AA" w:rsidRPr="009303AB">
        <w:rPr>
          <w:rFonts w:cstheme="minorHAnsi"/>
          <w:lang w:val="en-GB"/>
        </w:rPr>
        <w:t>topics</w:t>
      </w:r>
      <w:r w:rsidRPr="009303AB">
        <w:rPr>
          <w:rFonts w:cstheme="minorHAnsi"/>
          <w:lang w:val="en-GB"/>
        </w:rPr>
        <w:t xml:space="preserve"> of EUSAIR, collaborating with the newly established Social Pillar and its youth priorities (ex. Brain drain)</w:t>
      </w:r>
      <w:r w:rsidR="002B3EC6" w:rsidRPr="009303AB">
        <w:rPr>
          <w:rFonts w:cstheme="minorHAnsi"/>
          <w:lang w:val="en-GB"/>
        </w:rPr>
        <w:t>.</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 xml:space="preserve">an active role in communicating, </w:t>
      </w:r>
      <w:proofErr w:type="gramStart"/>
      <w:r w:rsidR="008A4D8D" w:rsidRPr="00941671">
        <w:rPr>
          <w:lang w:val="en-GB"/>
        </w:rPr>
        <w:t>orienting</w:t>
      </w:r>
      <w:proofErr w:type="gramEnd"/>
      <w:r w:rsidR="008A4D8D" w:rsidRPr="00941671">
        <w:rPr>
          <w:lang w:val="en-GB"/>
        </w:rPr>
        <w:t xml:space="preserve">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408A3C78" w14:textId="49627C6F" w:rsidR="00941671" w:rsidRDefault="00941671" w:rsidP="00A65D16">
      <w:pPr>
        <w:spacing w:before="240" w:after="240" w:line="276" w:lineRule="auto"/>
        <w:jc w:val="both"/>
        <w:rPr>
          <w:rFonts w:cstheme="minorHAnsi"/>
          <w:lang w:val="en-GB"/>
        </w:rPr>
      </w:pPr>
    </w:p>
    <w:p w14:paraId="624C8DB5" w14:textId="77777777" w:rsidR="00AF4F70" w:rsidRPr="00D75F30" w:rsidRDefault="00AF4F70"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2C371CAB"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will be carried outby </w:t>
      </w:r>
      <w:r w:rsidRPr="00044EEC">
        <w:rPr>
          <w:rFonts w:cstheme="minorHAnsi"/>
          <w:lang w:val="en-GB"/>
        </w:rPr>
        <w:t>the Facility Point project</w:t>
      </w:r>
      <w:r w:rsidR="00044EEC" w:rsidRPr="00D75F30">
        <w:rPr>
          <w:rFonts w:cstheme="minorHAnsi"/>
          <w:lang w:val="en-GB"/>
        </w:rPr>
        <w:t>.</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w:t>
      </w:r>
      <w:r w:rsidR="00601F1C" w:rsidRPr="00044EEC">
        <w:rPr>
          <w:rFonts w:cstheme="minorHAnsi"/>
          <w:lang w:val="en-GB"/>
        </w:rPr>
        <w:t xml:space="preserve">EUSAIR Facility Point project </w:t>
      </w:r>
      <w:r w:rsidRPr="00044EEC">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This should be done to ensure a functioning and sustainable EUSAIR Youth Council</w:t>
      </w:r>
      <w:r w:rsidR="00D553FA" w:rsidRPr="00D75F30">
        <w:rPr>
          <w:rFonts w:cstheme="minorHAnsi"/>
          <w:lang w:val="en-GB"/>
        </w:rPr>
        <w:t xml:space="preserve"> </w:t>
      </w:r>
      <w:r w:rsidR="00381D7E" w:rsidRPr="00D75F30">
        <w:rPr>
          <w:rFonts w:cstheme="minorHAnsi"/>
          <w:lang w:val="en-GB"/>
        </w:rPr>
        <w:t>and efficient</w:t>
      </w:r>
      <w:r w:rsidR="00167E14" w:rsidRPr="00D75F30">
        <w:rPr>
          <w:rFonts w:cstheme="minorHAnsi"/>
          <w:lang w:val="en-GB"/>
        </w:rPr>
        <w:t xml:space="preserve"> and impactful engagement with the EUSAIR governance structure</w:t>
      </w:r>
      <w:r w:rsidR="00D553FA" w:rsidRPr="00D75F30">
        <w:rPr>
          <w:rFonts w:cstheme="minorHAnsi"/>
          <w:lang w:val="en-GB"/>
        </w:rPr>
        <w:t>s</w:t>
      </w:r>
      <w:r w:rsidR="00F8354B" w:rsidRPr="00D75F30">
        <w:rPr>
          <w:rFonts w:cstheme="minorHAnsi"/>
          <w:lang w:val="en-GB"/>
        </w:rPr>
        <w:t xml:space="preserve"> and</w:t>
      </w:r>
      <w:r w:rsidR="00242780" w:rsidRPr="00D75F30">
        <w:rPr>
          <w:rFonts w:cstheme="minorHAnsi"/>
          <w:lang w:val="en-GB"/>
        </w:rPr>
        <w:t xml:space="preserve"> other </w:t>
      </w:r>
      <w:r w:rsidR="00E845A3" w:rsidRPr="00D75F30">
        <w:rPr>
          <w:rFonts w:cstheme="minorHAnsi"/>
          <w:lang w:val="en-GB"/>
        </w:rPr>
        <w:t>Adriatic</w:t>
      </w:r>
      <w:r w:rsidR="00242780" w:rsidRPr="00D75F30">
        <w:rPr>
          <w:rFonts w:cstheme="minorHAnsi"/>
          <w:lang w:val="en-GB"/>
        </w:rPr>
        <w:t>-</w:t>
      </w:r>
      <w:r w:rsidR="00E845A3" w:rsidRPr="00D75F30">
        <w:rPr>
          <w:rFonts w:cstheme="minorHAnsi"/>
          <w:lang w:val="en-GB"/>
        </w:rPr>
        <w:t>I</w:t>
      </w:r>
      <w:r w:rsidR="00242780" w:rsidRPr="00D75F30">
        <w:rPr>
          <w:rFonts w:cstheme="minorHAnsi"/>
          <w:lang w:val="en-GB"/>
        </w:rPr>
        <w:t xml:space="preserve">onian </w:t>
      </w:r>
      <w:r w:rsidR="00E845A3" w:rsidRPr="00D75F30">
        <w:rPr>
          <w:rFonts w:cstheme="minorHAnsi"/>
          <w:lang w:val="en-GB"/>
        </w:rPr>
        <w:t>youth initiative</w:t>
      </w:r>
      <w:r w:rsidR="00D553FA" w:rsidRPr="00D75F30">
        <w:rPr>
          <w:rFonts w:cstheme="minorHAnsi"/>
          <w:lang w:val="en-GB"/>
        </w:rPr>
        <w:t>s</w:t>
      </w:r>
      <w:r w:rsidR="00E845A3" w:rsidRPr="00D75F30">
        <w:rPr>
          <w:rFonts w:cstheme="minorHAnsi"/>
          <w:lang w:val="en-GB"/>
        </w:rPr>
        <w:t xml:space="preserve"> and organisations</w:t>
      </w:r>
      <w:r w:rsidR="002F0BC4" w:rsidRPr="00D75F30">
        <w:rPr>
          <w:rFonts w:cstheme="minorHAnsi"/>
          <w:lang w:val="en-GB"/>
        </w:rPr>
        <w:t xml:space="preserve">. </w:t>
      </w:r>
    </w:p>
    <w:p w14:paraId="5A2E364D" w14:textId="627804A8"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D</w:t>
      </w:r>
      <w:r w:rsidR="005C5B87" w:rsidRPr="00D75F30">
        <w:rPr>
          <w:rFonts w:cstheme="minorHAnsi"/>
          <w:lang w:val="en-GB"/>
        </w:rPr>
        <w:t xml:space="preserve">ecisions </w:t>
      </w:r>
      <w:r w:rsidR="00AF5202" w:rsidRPr="00D75F30">
        <w:rPr>
          <w:rFonts w:cstheme="minorHAnsi"/>
          <w:lang w:val="en-GB"/>
        </w:rPr>
        <w:t xml:space="preserve">in the EUSAIR Youth Council </w:t>
      </w:r>
      <w:r w:rsidRPr="00D75F30">
        <w:rPr>
          <w:rFonts w:cstheme="minorHAnsi"/>
          <w:lang w:val="en-GB"/>
        </w:rPr>
        <w:t xml:space="preserve">should be made by consensus.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t>The representatives should meet</w:t>
      </w:r>
      <w:r w:rsidR="00D553FA" w:rsidRPr="00D75F30">
        <w:rPr>
          <w:rFonts w:cstheme="minorHAnsi"/>
          <w:lang w:val="en-GB"/>
        </w:rPr>
        <w:t xml:space="preserve"> </w:t>
      </w:r>
      <w:r w:rsidR="002F0BC4" w:rsidRPr="00D75F30">
        <w:rPr>
          <w:rFonts w:cstheme="minorHAnsi"/>
          <w:lang w:val="en-GB"/>
        </w:rPr>
        <w:t>four</w:t>
      </w:r>
      <w:r w:rsidRPr="00D75F30">
        <w:rPr>
          <w:rFonts w:cstheme="minorHAnsi"/>
          <w:lang w:val="en-GB"/>
        </w:rPr>
        <w:t xml:space="preserve"> times a year</w:t>
      </w:r>
      <w:r w:rsidR="00735678" w:rsidRPr="00D75F30">
        <w:rPr>
          <w:rFonts w:cstheme="minorHAnsi"/>
          <w:lang w:val="en-GB"/>
        </w:rPr>
        <w:t xml:space="preserve">, this means that </w:t>
      </w:r>
      <w:r w:rsidR="00027C7E">
        <w:rPr>
          <w:rFonts w:cstheme="minorHAnsi"/>
          <w:lang w:val="en-GB"/>
        </w:rPr>
        <w:t xml:space="preserve">at least </w:t>
      </w:r>
      <w:r w:rsidR="00735678" w:rsidRPr="00D75F30">
        <w:rPr>
          <w:rFonts w:cstheme="minorHAnsi"/>
          <w:lang w:val="en-GB"/>
        </w:rPr>
        <w:t xml:space="preserve">once a year the Youth </w:t>
      </w:r>
      <w:r w:rsidR="002F0BC4" w:rsidRPr="00D75F30">
        <w:rPr>
          <w:rFonts w:cstheme="minorHAnsi"/>
          <w:lang w:val="en-GB"/>
        </w:rPr>
        <w:t>Council</w:t>
      </w:r>
      <w:r w:rsidR="00735678" w:rsidRPr="00D75F30">
        <w:rPr>
          <w:rFonts w:cstheme="minorHAnsi"/>
          <w:lang w:val="en-GB"/>
        </w:rPr>
        <w:t xml:space="preserve"> </w:t>
      </w:r>
      <w:r w:rsidR="00735678" w:rsidRPr="000E21D8">
        <w:rPr>
          <w:rFonts w:cstheme="minorHAnsi"/>
          <w:b/>
          <w:bCs/>
          <w:lang w:val="en-GB"/>
        </w:rPr>
        <w:t>would meet in person</w:t>
      </w:r>
      <w:r w:rsidR="00735678" w:rsidRPr="00D75F30">
        <w:rPr>
          <w:rFonts w:cstheme="minorHAnsi"/>
          <w:lang w:val="en-GB"/>
        </w:rPr>
        <w:t xml:space="preserve">, the other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and 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AB668CC" w:rsidR="00EA577F" w:rsidRDefault="00EA577F" w:rsidP="00A65D16">
      <w:pPr>
        <w:spacing w:line="276" w:lineRule="auto"/>
        <w:jc w:val="both"/>
        <w:rPr>
          <w:rFonts w:cstheme="minorHAnsi"/>
          <w:lang w:val="en-GB"/>
        </w:rPr>
      </w:pPr>
      <w:r w:rsidRPr="00D75F30">
        <w:rPr>
          <w:rFonts w:cstheme="minorHAnsi"/>
          <w:lang w:val="en-GB"/>
        </w:rPr>
        <w:t xml:space="preserve">EUSAIR Youth Council members should 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1" w:name="_Hlk153266580"/>
      <w:r w:rsidRPr="00D75F30">
        <w:rPr>
          <w:rFonts w:eastAsiaTheme="majorEastAsia" w:cstheme="minorHAnsi"/>
          <w:i/>
          <w:iCs/>
          <w:color w:val="2F5496" w:themeColor="accent1" w:themeShade="BF"/>
          <w:lang w:val="en-GB"/>
        </w:rPr>
        <w:t>Financing</w:t>
      </w:r>
    </w:p>
    <w:bookmarkEnd w:id="1"/>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lastRenderedPageBreak/>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2"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2"/>
    <w:p w14:paraId="6DA41791" w14:textId="4DC2C1C7" w:rsidR="007B7E62" w:rsidRPr="007B7E62" w:rsidRDefault="002268F0" w:rsidP="007B7E62">
      <w:pPr>
        <w:pStyle w:val="ListParagraph"/>
        <w:numPr>
          <w:ilvl w:val="0"/>
          <w:numId w:val="34"/>
        </w:numPr>
        <w:rPr>
          <w:lang w:val="en-GB"/>
        </w:rPr>
      </w:pPr>
      <w:r>
        <w:rPr>
          <w:lang w:val="en-GB"/>
        </w:rPr>
        <w:t xml:space="preserve">A) </w:t>
      </w:r>
      <w:r w:rsidR="007B7E62" w:rsidRPr="007B7E62">
        <w:rPr>
          <w:lang w:val="en-GB"/>
        </w:rPr>
        <w:t xml:space="preserve">Contributions from other existing Adriatic-Ionian youth initiatives and projects (EUSAIR POPRI, AI-NURECC PLUS, Cooperation &amp; Development Institute, At the School of </w:t>
      </w:r>
      <w:proofErr w:type="spellStart"/>
      <w:r w:rsidR="007B7E62" w:rsidRPr="007B7E62">
        <w:rPr>
          <w:lang w:val="en-GB"/>
        </w:rPr>
        <w:t>OpenCohesion</w:t>
      </w:r>
      <w:proofErr w:type="spellEnd"/>
      <w:r w:rsidR="007B7E62" w:rsidRPr="007B7E62">
        <w:rPr>
          <w:lang w:val="en-GB"/>
        </w:rPr>
        <w:t xml:space="preserve"> – ASOC)</w:t>
      </w:r>
    </w:p>
    <w:p w14:paraId="4B2910C8" w14:textId="1F4C5C3F" w:rsidR="007B7E62" w:rsidRPr="007B7E62" w:rsidRDefault="002268F0" w:rsidP="007B7E62">
      <w:pPr>
        <w:pStyle w:val="ListParagraph"/>
        <w:numPr>
          <w:ilvl w:val="0"/>
          <w:numId w:val="34"/>
        </w:numPr>
        <w:rPr>
          <w:lang w:val="en-GB"/>
        </w:rPr>
      </w:pPr>
      <w:r>
        <w:rPr>
          <w:lang w:val="en-GB"/>
        </w:rPr>
        <w:t xml:space="preserve">B) </w:t>
      </w:r>
      <w:r w:rsidR="007B7E62" w:rsidRPr="007B7E62">
        <w:rPr>
          <w:lang w:val="en-GB"/>
        </w:rPr>
        <w:t>EUSAIR Youth Closed Consultation results</w:t>
      </w:r>
    </w:p>
    <w:p w14:paraId="0175B349" w14:textId="57245BC6" w:rsidR="007B7E62" w:rsidRPr="007B7E62" w:rsidRDefault="002268F0" w:rsidP="007B7E62">
      <w:pPr>
        <w:pStyle w:val="ListParagraph"/>
        <w:numPr>
          <w:ilvl w:val="0"/>
          <w:numId w:val="34"/>
        </w:numPr>
        <w:rPr>
          <w:lang w:val="en-GB"/>
        </w:rPr>
      </w:pPr>
      <w:r>
        <w:rPr>
          <w:lang w:val="en-GB"/>
        </w:rPr>
        <w:t xml:space="preserve">C) </w:t>
      </w:r>
      <w:r w:rsidR="007B7E62" w:rsidRPr="007B7E62">
        <w:rPr>
          <w:lang w:val="en-GB"/>
        </w:rPr>
        <w:t>EUSAIR Youth Open Consultation results</w:t>
      </w:r>
    </w:p>
    <w:sectPr w:rsidR="007B7E62" w:rsidRPr="007B7E62" w:rsidSect="001F0893">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72D" w14:textId="77777777" w:rsidR="008F640C" w:rsidRDefault="008F640C" w:rsidP="001F0893">
      <w:pPr>
        <w:spacing w:after="0" w:line="240" w:lineRule="auto"/>
      </w:pPr>
      <w:r>
        <w:separator/>
      </w:r>
    </w:p>
  </w:endnote>
  <w:endnote w:type="continuationSeparator" w:id="0">
    <w:p w14:paraId="36D95496" w14:textId="77777777" w:rsidR="008F640C" w:rsidRDefault="008F640C" w:rsidP="001F0893">
      <w:pPr>
        <w:spacing w:after="0" w:line="240" w:lineRule="auto"/>
      </w:pPr>
      <w:r>
        <w:continuationSeparator/>
      </w:r>
    </w:p>
  </w:endnote>
  <w:endnote w:type="continuationNotice" w:id="1">
    <w:p w14:paraId="6344FB1D" w14:textId="77777777" w:rsidR="008F640C" w:rsidRDefault="008F6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5DDE497F" w:rsidR="00342719" w:rsidRDefault="00342719">
        <w:pPr>
          <w:pStyle w:val="Footer"/>
          <w:jc w:val="center"/>
        </w:pPr>
        <w:r>
          <w:fldChar w:fldCharType="begin"/>
        </w:r>
        <w:r>
          <w:instrText xml:space="preserve"> PAGE   \* MERGEFORMAT </w:instrText>
        </w:r>
        <w:r>
          <w:fldChar w:fldCharType="separate"/>
        </w:r>
        <w:r w:rsidR="007B1574">
          <w:rPr>
            <w:noProof/>
          </w:rPr>
          <w:t>6</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5624ACCE" w:rsidR="001F0893" w:rsidRDefault="001F0893" w:rsidP="008A4916">
        <w:pPr>
          <w:pStyle w:val="Footer"/>
          <w:jc w:val="center"/>
        </w:pPr>
        <w:r>
          <w:fldChar w:fldCharType="begin"/>
        </w:r>
        <w:r>
          <w:instrText xml:space="preserve"> PAGE   \* MERGEFORMAT </w:instrText>
        </w:r>
        <w:r>
          <w:fldChar w:fldCharType="separate"/>
        </w:r>
        <w:r w:rsidR="007B1574">
          <w:rPr>
            <w:noProof/>
          </w:rPr>
          <w:t>1</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146C" w14:textId="77777777" w:rsidR="008F640C" w:rsidRDefault="008F640C" w:rsidP="001F0893">
      <w:pPr>
        <w:spacing w:after="0" w:line="240" w:lineRule="auto"/>
      </w:pPr>
      <w:r>
        <w:separator/>
      </w:r>
    </w:p>
  </w:footnote>
  <w:footnote w:type="continuationSeparator" w:id="0">
    <w:p w14:paraId="26873BF2" w14:textId="77777777" w:rsidR="008F640C" w:rsidRDefault="008F640C" w:rsidP="001F0893">
      <w:pPr>
        <w:spacing w:after="0" w:line="240" w:lineRule="auto"/>
      </w:pPr>
      <w:r>
        <w:continuationSeparator/>
      </w:r>
    </w:p>
  </w:footnote>
  <w:footnote w:type="continuationNotice" w:id="1">
    <w:p w14:paraId="60091E92" w14:textId="77777777" w:rsidR="008F640C" w:rsidRDefault="008F640C">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rsidRPr="00DB19C1">
        <w:rPr>
          <w:lang w:val="sl-SI"/>
        </w:rPr>
        <w:t xml:space="preserve"> </w:t>
      </w:r>
      <w:r w:rsidRPr="00DB19C1">
        <w:rPr>
          <w:lang w:val="sl-SI"/>
        </w:rPr>
        <w:t>https://peopleandskills.danube-region.eu/wp-content/uploads/sites/11/youth_manifesto_interreg_en.pdf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3740695B" w:rsidR="00342719" w:rsidRDefault="00F22FA3" w:rsidP="00941671">
    <w:pPr>
      <w:pStyle w:val="Header"/>
      <w:jc w:val="right"/>
    </w:pPr>
    <w:r>
      <w:t>v.</w:t>
    </w:r>
    <w:r w:rsidR="00A17B6F">
      <w:t>19</w:t>
    </w:r>
    <w:r>
      <w:t>.</w:t>
    </w:r>
    <w:r w:rsidR="00A17B6F">
      <w:t>2</w:t>
    </w:r>
    <w:r>
      <w:t>.2024</w:t>
    </w:r>
  </w:p>
  <w:p w14:paraId="362E667C" w14:textId="77777777" w:rsidR="00342719" w:rsidRDefault="00342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137"/>
      <w:gridCol w:w="2749"/>
      <w:gridCol w:w="3186"/>
    </w:tblGrid>
    <w:tr w:rsidR="001F0893" w14:paraId="38275EB5" w14:textId="77777777" w:rsidTr="007441C0">
      <w:trPr>
        <w:jc w:val="center"/>
      </w:trPr>
      <w:tc>
        <w:tcPr>
          <w:tcW w:w="3020" w:type="dxa"/>
          <w:shd w:val="clear" w:color="auto" w:fill="auto"/>
          <w:vAlign w:val="center"/>
        </w:tcPr>
        <w:p w14:paraId="5D117CE3" w14:textId="2867A904" w:rsidR="001F0893" w:rsidRDefault="00370650" w:rsidP="001F0893">
          <w:pPr>
            <w:spacing w:line="240" w:lineRule="auto"/>
            <w:jc w:val="center"/>
            <w:outlineLvl w:val="0"/>
          </w:pPr>
          <w:r w:rsidRPr="00941671">
            <w:rPr>
              <w:noProof/>
              <w:lang w:val="it-IT" w:eastAsia="it-IT"/>
            </w:rPr>
            <w:drawing>
              <wp:inline distT="0" distB="0" distL="0" distR="0" wp14:anchorId="2BCBD6A5" wp14:editId="22E75DE8">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02F0FE77" w14:textId="356AB5FF" w:rsidR="001F0893" w:rsidRDefault="001F0893" w:rsidP="001F0893">
          <w:pPr>
            <w:spacing w:line="240" w:lineRule="auto"/>
            <w:jc w:val="center"/>
            <w:outlineLvl w:val="0"/>
          </w:pPr>
          <w:r w:rsidRPr="00941671">
            <w:rPr>
              <w:b/>
              <w:noProof/>
              <w:color w:val="365F91"/>
              <w:sz w:val="28"/>
              <w:lang w:val="it-IT" w:eastAsia="it-IT"/>
            </w:rPr>
            <w:drawing>
              <wp:inline distT="0" distB="0" distL="0" distR="0" wp14:anchorId="3340813F" wp14:editId="01D076D0">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725EC137" w14:textId="66AF855D" w:rsidR="001F0893" w:rsidRDefault="001F0893" w:rsidP="001F0893">
          <w:pPr>
            <w:spacing w:line="240" w:lineRule="auto"/>
            <w:jc w:val="center"/>
            <w:outlineLvl w:val="0"/>
          </w:pPr>
          <w:r w:rsidRPr="00941671">
            <w:rPr>
              <w:noProof/>
              <w:lang w:val="it-IT" w:eastAsia="it-IT"/>
            </w:rPr>
            <w:drawing>
              <wp:inline distT="0" distB="0" distL="0" distR="0" wp14:anchorId="4CAB275A" wp14:editId="4C4AA52D">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4BF7E84E" w14:textId="7F0E0EC1" w:rsidR="001F0893" w:rsidRDefault="001F0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2"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5"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6"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1"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3"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77149800">
    <w:abstractNumId w:val="10"/>
  </w:num>
  <w:num w:numId="2" w16cid:durableId="945238420">
    <w:abstractNumId w:val="12"/>
  </w:num>
  <w:num w:numId="3" w16cid:durableId="1662811323">
    <w:abstractNumId w:val="27"/>
  </w:num>
  <w:num w:numId="4" w16cid:durableId="1104502028">
    <w:abstractNumId w:val="1"/>
  </w:num>
  <w:num w:numId="5" w16cid:durableId="264964239">
    <w:abstractNumId w:val="13"/>
  </w:num>
  <w:num w:numId="6" w16cid:durableId="20058056">
    <w:abstractNumId w:val="5"/>
  </w:num>
  <w:num w:numId="7" w16cid:durableId="104814007">
    <w:abstractNumId w:val="30"/>
  </w:num>
  <w:num w:numId="8" w16cid:durableId="403070449">
    <w:abstractNumId w:val="4"/>
  </w:num>
  <w:num w:numId="9" w16cid:durableId="461577138">
    <w:abstractNumId w:val="26"/>
  </w:num>
  <w:num w:numId="10" w16cid:durableId="465128978">
    <w:abstractNumId w:val="31"/>
  </w:num>
  <w:num w:numId="11" w16cid:durableId="1298954648">
    <w:abstractNumId w:val="23"/>
  </w:num>
  <w:num w:numId="12" w16cid:durableId="1078210285">
    <w:abstractNumId w:val="22"/>
  </w:num>
  <w:num w:numId="13" w16cid:durableId="940188535">
    <w:abstractNumId w:val="17"/>
  </w:num>
  <w:num w:numId="14" w16cid:durableId="665088468">
    <w:abstractNumId w:val="0"/>
  </w:num>
  <w:num w:numId="15" w16cid:durableId="2082367418">
    <w:abstractNumId w:val="9"/>
  </w:num>
  <w:num w:numId="16" w16cid:durableId="1915309376">
    <w:abstractNumId w:val="2"/>
  </w:num>
  <w:num w:numId="17" w16cid:durableId="624702999">
    <w:abstractNumId w:val="24"/>
  </w:num>
  <w:num w:numId="18" w16cid:durableId="427894325">
    <w:abstractNumId w:val="21"/>
  </w:num>
  <w:num w:numId="19" w16cid:durableId="1467359741">
    <w:abstractNumId w:val="20"/>
  </w:num>
  <w:num w:numId="20" w16cid:durableId="565074812">
    <w:abstractNumId w:val="14"/>
  </w:num>
  <w:num w:numId="21" w16cid:durableId="20209068">
    <w:abstractNumId w:val="15"/>
  </w:num>
  <w:num w:numId="22" w16cid:durableId="1305697809">
    <w:abstractNumId w:val="3"/>
  </w:num>
  <w:num w:numId="23" w16cid:durableId="197161406">
    <w:abstractNumId w:val="11"/>
  </w:num>
  <w:num w:numId="24" w16cid:durableId="426461024">
    <w:abstractNumId w:val="32"/>
  </w:num>
  <w:num w:numId="25" w16cid:durableId="410742407">
    <w:abstractNumId w:val="33"/>
  </w:num>
  <w:num w:numId="26" w16cid:durableId="77561672">
    <w:abstractNumId w:val="6"/>
  </w:num>
  <w:num w:numId="27" w16cid:durableId="879635975">
    <w:abstractNumId w:val="25"/>
  </w:num>
  <w:num w:numId="28" w16cid:durableId="359361978">
    <w:abstractNumId w:val="18"/>
  </w:num>
  <w:num w:numId="29" w16cid:durableId="239294305">
    <w:abstractNumId w:val="7"/>
  </w:num>
  <w:num w:numId="30" w16cid:durableId="1485471685">
    <w:abstractNumId w:val="29"/>
  </w:num>
  <w:num w:numId="31" w16cid:durableId="1446383494">
    <w:abstractNumId w:val="16"/>
  </w:num>
  <w:num w:numId="32" w16cid:durableId="1256012866">
    <w:abstractNumId w:val="19"/>
  </w:num>
  <w:num w:numId="33" w16cid:durableId="2078283414">
    <w:abstractNumId w:val="8"/>
  </w:num>
  <w:num w:numId="34" w16cid:durableId="7408296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A6"/>
    <w:rsid w:val="0000129C"/>
    <w:rsid w:val="000017D4"/>
    <w:rsid w:val="00017BFB"/>
    <w:rsid w:val="00023969"/>
    <w:rsid w:val="00027C7E"/>
    <w:rsid w:val="0003783D"/>
    <w:rsid w:val="0004017A"/>
    <w:rsid w:val="000402B3"/>
    <w:rsid w:val="000407A8"/>
    <w:rsid w:val="00041799"/>
    <w:rsid w:val="00044EEC"/>
    <w:rsid w:val="00065436"/>
    <w:rsid w:val="00070EB6"/>
    <w:rsid w:val="00082492"/>
    <w:rsid w:val="00097E41"/>
    <w:rsid w:val="000A762D"/>
    <w:rsid w:val="000B7EBA"/>
    <w:rsid w:val="000D60B0"/>
    <w:rsid w:val="000D7B3D"/>
    <w:rsid w:val="000E21D8"/>
    <w:rsid w:val="000E5801"/>
    <w:rsid w:val="000F0B28"/>
    <w:rsid w:val="000F7D77"/>
    <w:rsid w:val="00106ABF"/>
    <w:rsid w:val="001214BB"/>
    <w:rsid w:val="00121C04"/>
    <w:rsid w:val="00130AEE"/>
    <w:rsid w:val="00134D3B"/>
    <w:rsid w:val="00142B82"/>
    <w:rsid w:val="00143D19"/>
    <w:rsid w:val="00145DDA"/>
    <w:rsid w:val="0014795F"/>
    <w:rsid w:val="00167E14"/>
    <w:rsid w:val="001712CB"/>
    <w:rsid w:val="00174887"/>
    <w:rsid w:val="001759D1"/>
    <w:rsid w:val="001837B0"/>
    <w:rsid w:val="00194A05"/>
    <w:rsid w:val="001A32B5"/>
    <w:rsid w:val="001A3B9F"/>
    <w:rsid w:val="001A7FEE"/>
    <w:rsid w:val="001B1A2D"/>
    <w:rsid w:val="001D6D59"/>
    <w:rsid w:val="001F0893"/>
    <w:rsid w:val="001F7D35"/>
    <w:rsid w:val="00217D4E"/>
    <w:rsid w:val="002268F0"/>
    <w:rsid w:val="00226AA6"/>
    <w:rsid w:val="00231C3A"/>
    <w:rsid w:val="00235972"/>
    <w:rsid w:val="00240CE7"/>
    <w:rsid w:val="00240D91"/>
    <w:rsid w:val="00240DB3"/>
    <w:rsid w:val="00242780"/>
    <w:rsid w:val="00251CCE"/>
    <w:rsid w:val="00270C2C"/>
    <w:rsid w:val="00281694"/>
    <w:rsid w:val="002823EA"/>
    <w:rsid w:val="0029294A"/>
    <w:rsid w:val="002B05B1"/>
    <w:rsid w:val="002B3EC6"/>
    <w:rsid w:val="002B4459"/>
    <w:rsid w:val="002B4C99"/>
    <w:rsid w:val="002D5074"/>
    <w:rsid w:val="002D54A6"/>
    <w:rsid w:val="002E49F3"/>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65C"/>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4101D4"/>
    <w:rsid w:val="004105F8"/>
    <w:rsid w:val="00413F87"/>
    <w:rsid w:val="00414FFF"/>
    <w:rsid w:val="00424CEA"/>
    <w:rsid w:val="00425124"/>
    <w:rsid w:val="0043135A"/>
    <w:rsid w:val="00432000"/>
    <w:rsid w:val="0043728A"/>
    <w:rsid w:val="004426BD"/>
    <w:rsid w:val="00453E8A"/>
    <w:rsid w:val="00470676"/>
    <w:rsid w:val="00480AF6"/>
    <w:rsid w:val="004841A0"/>
    <w:rsid w:val="00492F2A"/>
    <w:rsid w:val="004A399E"/>
    <w:rsid w:val="004A43CB"/>
    <w:rsid w:val="004A7B90"/>
    <w:rsid w:val="004B2A91"/>
    <w:rsid w:val="004B4D49"/>
    <w:rsid w:val="004B50D3"/>
    <w:rsid w:val="004C282D"/>
    <w:rsid w:val="004E4E8A"/>
    <w:rsid w:val="004E6DB8"/>
    <w:rsid w:val="004F21D5"/>
    <w:rsid w:val="004F4A52"/>
    <w:rsid w:val="00504A77"/>
    <w:rsid w:val="005054F0"/>
    <w:rsid w:val="00517EF0"/>
    <w:rsid w:val="00520904"/>
    <w:rsid w:val="00535C3D"/>
    <w:rsid w:val="0053764B"/>
    <w:rsid w:val="0054012F"/>
    <w:rsid w:val="00541477"/>
    <w:rsid w:val="00543F27"/>
    <w:rsid w:val="00545B23"/>
    <w:rsid w:val="0055288A"/>
    <w:rsid w:val="005633A2"/>
    <w:rsid w:val="005635C9"/>
    <w:rsid w:val="0056525B"/>
    <w:rsid w:val="00571808"/>
    <w:rsid w:val="00571E19"/>
    <w:rsid w:val="005760B4"/>
    <w:rsid w:val="005902C4"/>
    <w:rsid w:val="0059037C"/>
    <w:rsid w:val="005A3419"/>
    <w:rsid w:val="005A3868"/>
    <w:rsid w:val="005A66D6"/>
    <w:rsid w:val="005B1CEE"/>
    <w:rsid w:val="005B479D"/>
    <w:rsid w:val="005C08BC"/>
    <w:rsid w:val="005C21A8"/>
    <w:rsid w:val="005C5B87"/>
    <w:rsid w:val="005F3FC0"/>
    <w:rsid w:val="00601F1C"/>
    <w:rsid w:val="00611C65"/>
    <w:rsid w:val="00614310"/>
    <w:rsid w:val="00614990"/>
    <w:rsid w:val="006165F6"/>
    <w:rsid w:val="006168E7"/>
    <w:rsid w:val="006169DE"/>
    <w:rsid w:val="00617D57"/>
    <w:rsid w:val="006219B5"/>
    <w:rsid w:val="00622D29"/>
    <w:rsid w:val="006234B3"/>
    <w:rsid w:val="00633E32"/>
    <w:rsid w:val="006343B7"/>
    <w:rsid w:val="0064023E"/>
    <w:rsid w:val="006465F4"/>
    <w:rsid w:val="00651DD3"/>
    <w:rsid w:val="006609D2"/>
    <w:rsid w:val="006633B1"/>
    <w:rsid w:val="00665126"/>
    <w:rsid w:val="00667BA4"/>
    <w:rsid w:val="00670A9E"/>
    <w:rsid w:val="00693CD5"/>
    <w:rsid w:val="00693FF9"/>
    <w:rsid w:val="006946DC"/>
    <w:rsid w:val="00697977"/>
    <w:rsid w:val="00697E12"/>
    <w:rsid w:val="006A78AE"/>
    <w:rsid w:val="006B508A"/>
    <w:rsid w:val="006C537C"/>
    <w:rsid w:val="006E26C9"/>
    <w:rsid w:val="006F04F6"/>
    <w:rsid w:val="007047E2"/>
    <w:rsid w:val="00704D11"/>
    <w:rsid w:val="00713FFB"/>
    <w:rsid w:val="00724902"/>
    <w:rsid w:val="00727D42"/>
    <w:rsid w:val="00731623"/>
    <w:rsid w:val="00735678"/>
    <w:rsid w:val="0073694F"/>
    <w:rsid w:val="00747328"/>
    <w:rsid w:val="007475F3"/>
    <w:rsid w:val="00750BA7"/>
    <w:rsid w:val="00760D65"/>
    <w:rsid w:val="00762E76"/>
    <w:rsid w:val="0076624E"/>
    <w:rsid w:val="0077651C"/>
    <w:rsid w:val="00783372"/>
    <w:rsid w:val="00792B22"/>
    <w:rsid w:val="00792DCA"/>
    <w:rsid w:val="00793933"/>
    <w:rsid w:val="007A435E"/>
    <w:rsid w:val="007B1574"/>
    <w:rsid w:val="007B7E62"/>
    <w:rsid w:val="007C348E"/>
    <w:rsid w:val="007E633E"/>
    <w:rsid w:val="007E7374"/>
    <w:rsid w:val="007F3F1C"/>
    <w:rsid w:val="007F62D8"/>
    <w:rsid w:val="00803967"/>
    <w:rsid w:val="0080576A"/>
    <w:rsid w:val="00810B39"/>
    <w:rsid w:val="008161FB"/>
    <w:rsid w:val="008416C3"/>
    <w:rsid w:val="00846ED9"/>
    <w:rsid w:val="00863F5D"/>
    <w:rsid w:val="00867D2A"/>
    <w:rsid w:val="0087073C"/>
    <w:rsid w:val="00874297"/>
    <w:rsid w:val="00874CBC"/>
    <w:rsid w:val="0089022F"/>
    <w:rsid w:val="00897C65"/>
    <w:rsid w:val="008A4916"/>
    <w:rsid w:val="008A4D8D"/>
    <w:rsid w:val="008A6642"/>
    <w:rsid w:val="008A7E1E"/>
    <w:rsid w:val="008B4E50"/>
    <w:rsid w:val="008C526D"/>
    <w:rsid w:val="008D0EAA"/>
    <w:rsid w:val="008D2CB6"/>
    <w:rsid w:val="008E37D2"/>
    <w:rsid w:val="008E3C5B"/>
    <w:rsid w:val="008E4E39"/>
    <w:rsid w:val="008F0717"/>
    <w:rsid w:val="008F640C"/>
    <w:rsid w:val="00922F9E"/>
    <w:rsid w:val="00925296"/>
    <w:rsid w:val="009303AB"/>
    <w:rsid w:val="00937FDC"/>
    <w:rsid w:val="00941671"/>
    <w:rsid w:val="00952BC3"/>
    <w:rsid w:val="009545AB"/>
    <w:rsid w:val="00963023"/>
    <w:rsid w:val="00983C5D"/>
    <w:rsid w:val="009868FA"/>
    <w:rsid w:val="00990CB9"/>
    <w:rsid w:val="009929C3"/>
    <w:rsid w:val="009B5A5D"/>
    <w:rsid w:val="009C03FB"/>
    <w:rsid w:val="009D1E45"/>
    <w:rsid w:val="009D4CB3"/>
    <w:rsid w:val="00A16C44"/>
    <w:rsid w:val="00A17B6F"/>
    <w:rsid w:val="00A17DD4"/>
    <w:rsid w:val="00A35FF1"/>
    <w:rsid w:val="00A65D16"/>
    <w:rsid w:val="00A73F7A"/>
    <w:rsid w:val="00A75D0E"/>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514A"/>
    <w:rsid w:val="00B45DB3"/>
    <w:rsid w:val="00B4699B"/>
    <w:rsid w:val="00B55FF3"/>
    <w:rsid w:val="00B636E4"/>
    <w:rsid w:val="00B67B8C"/>
    <w:rsid w:val="00B74229"/>
    <w:rsid w:val="00B758BF"/>
    <w:rsid w:val="00B93F5E"/>
    <w:rsid w:val="00BA5BC9"/>
    <w:rsid w:val="00BB0884"/>
    <w:rsid w:val="00BB5D43"/>
    <w:rsid w:val="00BC42C0"/>
    <w:rsid w:val="00BD05AB"/>
    <w:rsid w:val="00BD0CFA"/>
    <w:rsid w:val="00BD24AA"/>
    <w:rsid w:val="00BF4DE0"/>
    <w:rsid w:val="00C059A8"/>
    <w:rsid w:val="00C06CB2"/>
    <w:rsid w:val="00C2458C"/>
    <w:rsid w:val="00C25DD5"/>
    <w:rsid w:val="00C44F26"/>
    <w:rsid w:val="00C51F3A"/>
    <w:rsid w:val="00C5449E"/>
    <w:rsid w:val="00C60A8A"/>
    <w:rsid w:val="00C72307"/>
    <w:rsid w:val="00C910AA"/>
    <w:rsid w:val="00C92B7B"/>
    <w:rsid w:val="00CA26A5"/>
    <w:rsid w:val="00CA556C"/>
    <w:rsid w:val="00CA6992"/>
    <w:rsid w:val="00CB445A"/>
    <w:rsid w:val="00CB56F0"/>
    <w:rsid w:val="00CC0CBE"/>
    <w:rsid w:val="00CC1D65"/>
    <w:rsid w:val="00CD0923"/>
    <w:rsid w:val="00CD1A2E"/>
    <w:rsid w:val="00CE0A31"/>
    <w:rsid w:val="00CE6E1F"/>
    <w:rsid w:val="00D02DEA"/>
    <w:rsid w:val="00D06939"/>
    <w:rsid w:val="00D245A3"/>
    <w:rsid w:val="00D33617"/>
    <w:rsid w:val="00D37C52"/>
    <w:rsid w:val="00D44BF0"/>
    <w:rsid w:val="00D53083"/>
    <w:rsid w:val="00D553FA"/>
    <w:rsid w:val="00D7402E"/>
    <w:rsid w:val="00D75F30"/>
    <w:rsid w:val="00D81884"/>
    <w:rsid w:val="00D844AB"/>
    <w:rsid w:val="00D954BD"/>
    <w:rsid w:val="00D95524"/>
    <w:rsid w:val="00D967B9"/>
    <w:rsid w:val="00DA252D"/>
    <w:rsid w:val="00DA58C7"/>
    <w:rsid w:val="00DB19C1"/>
    <w:rsid w:val="00DB1E76"/>
    <w:rsid w:val="00DB4145"/>
    <w:rsid w:val="00DC4703"/>
    <w:rsid w:val="00DD1A85"/>
    <w:rsid w:val="00DD1F83"/>
    <w:rsid w:val="00DD4E65"/>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7511"/>
    <w:rsid w:val="00EE2552"/>
    <w:rsid w:val="00EF20C7"/>
    <w:rsid w:val="00F01BB2"/>
    <w:rsid w:val="00F106F7"/>
    <w:rsid w:val="00F12129"/>
    <w:rsid w:val="00F125C5"/>
    <w:rsid w:val="00F174A1"/>
    <w:rsid w:val="00F22FA3"/>
    <w:rsid w:val="00F24652"/>
    <w:rsid w:val="00F3114D"/>
    <w:rsid w:val="00F37E6B"/>
    <w:rsid w:val="00F42F35"/>
    <w:rsid w:val="00F43EAC"/>
    <w:rsid w:val="00F45110"/>
    <w:rsid w:val="00F53B51"/>
    <w:rsid w:val="00F5596A"/>
    <w:rsid w:val="00F71F1A"/>
    <w:rsid w:val="00F74EBE"/>
    <w:rsid w:val="00F8354B"/>
    <w:rsid w:val="00F86381"/>
    <w:rsid w:val="00F87721"/>
    <w:rsid w:val="00F9579C"/>
    <w:rsid w:val="00FA180B"/>
    <w:rsid w:val="00FB4CAA"/>
    <w:rsid w:val="00FC1DFA"/>
    <w:rsid w:val="00FC3D5C"/>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customStyle="1" w:styleId="UnresolvedMention1">
    <w:name w:val="Unresolved Mention1"/>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0">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Props1.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2.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463C6-ED0F-4CF8-9787-657827A72CE4}">
  <ds:schemaRefs>
    <ds:schemaRef ds:uri="http://schemas.openxmlformats.org/officeDocument/2006/bibliography"/>
  </ds:schemaRefs>
</ds:datastoreItem>
</file>

<file path=customXml/itemProps4.xml><?xml version="1.0" encoding="utf-8"?>
<ds:datastoreItem xmlns:ds="http://schemas.openxmlformats.org/officeDocument/2006/customXml" ds:itemID="{963B6559-EE2C-49D5-B813-108B6CF2DEA0}">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42f40b95-0f2b-4d8d-9790-2cb61fb8a234"/>
    <ds:schemaRef ds:uri="80ec999c-7c60-4884-a84b-ede5d0d5075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2131</Words>
  <Characters>12147</Characters>
  <Application>Microsoft Office Word</Application>
  <DocSecurity>0</DocSecurity>
  <Lines>101</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cp:lastModifiedBy>
  <cp:revision>2</cp:revision>
  <cp:lastPrinted>2023-11-29T08:52:00Z</cp:lastPrinted>
  <dcterms:created xsi:type="dcterms:W3CDTF">2024-02-19T16:19:00Z</dcterms:created>
  <dcterms:modified xsi:type="dcterms:W3CDTF">2024-02-19T16:19:00Z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