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D615" w14:textId="77777777" w:rsidR="006C5DED" w:rsidRDefault="00D6797E" w:rsidP="00D6797E">
      <w:pPr>
        <w:pStyle w:val="Naslov1"/>
      </w:pPr>
      <w:bookmarkStart w:id="0" w:name="_GoBack"/>
      <w:bookmarkEnd w:id="0"/>
      <w:r w:rsidRPr="00E32BD2">
        <w:t>EUSAIR A</w:t>
      </w:r>
      <w:r w:rsidR="006C5DED">
        <w:t xml:space="preserve">ction </w:t>
      </w:r>
      <w:r w:rsidRPr="00E32BD2">
        <w:t>P</w:t>
      </w:r>
      <w:r w:rsidR="006C5DED">
        <w:t>lan</w:t>
      </w:r>
      <w:r w:rsidRPr="00E32BD2">
        <w:t xml:space="preserve"> revision </w:t>
      </w:r>
    </w:p>
    <w:p w14:paraId="7474CDB9" w14:textId="1ACD6075" w:rsidR="00D6797E" w:rsidRPr="00E32BD2" w:rsidRDefault="00DD5169" w:rsidP="00D6797E">
      <w:pPr>
        <w:pStyle w:val="Naslov1"/>
      </w:pPr>
      <w:r w:rsidRPr="00DD5169">
        <w:t>T</w:t>
      </w:r>
      <w:r w:rsidR="00D6797E" w:rsidRPr="00DD5169">
        <w:t>h</w:t>
      </w:r>
      <w:r w:rsidR="00D6797E" w:rsidRPr="00E32BD2">
        <w:t xml:space="preserve">ematic </w:t>
      </w:r>
      <w:r w:rsidR="004C7A2A">
        <w:t>consultation</w:t>
      </w:r>
      <w:r w:rsidR="00D6797E" w:rsidRPr="00E32BD2">
        <w:t xml:space="preserve"> questionnaire for</w:t>
      </w:r>
      <w:r w:rsidR="008216FA">
        <w:t xml:space="preserve"> Pillar 2 Energy </w:t>
      </w:r>
      <w:r>
        <w:t>Sub-Group</w:t>
      </w:r>
    </w:p>
    <w:p w14:paraId="20357172" w14:textId="77777777" w:rsidR="00D6797E" w:rsidRPr="00E32BD2" w:rsidRDefault="00D6797E" w:rsidP="00D6797E">
      <w:pPr>
        <w:jc w:val="both"/>
        <w:rPr>
          <w:rFonts w:cstheme="minorHAnsi"/>
        </w:rPr>
      </w:pPr>
    </w:p>
    <w:p w14:paraId="65FDBDC0" w14:textId="0E798F98" w:rsidR="00215E64" w:rsidRPr="00E32BD2" w:rsidRDefault="00D6797E" w:rsidP="00D6797E">
      <w:pPr>
        <w:jc w:val="both"/>
        <w:rPr>
          <w:rFonts w:cstheme="minorHAnsi"/>
        </w:rPr>
      </w:pPr>
      <w:r w:rsidRPr="00E32BD2">
        <w:rPr>
          <w:rFonts w:cstheme="minorHAnsi"/>
        </w:rPr>
        <w:t>This document was developed by the EUSAIR Facility Point</w:t>
      </w:r>
      <w:r w:rsidR="002418AD">
        <w:rPr>
          <w:rFonts w:cstheme="minorHAnsi"/>
        </w:rPr>
        <w:t xml:space="preserve"> Lead Partner</w:t>
      </w:r>
      <w:r w:rsidRPr="00E32BD2">
        <w:rPr>
          <w:rFonts w:cstheme="minorHAnsi"/>
        </w:rPr>
        <w:t xml:space="preserve"> in cooperation with external experts as a starting point for thematic </w:t>
      </w:r>
      <w:r w:rsidR="004C7A2A">
        <w:rPr>
          <w:rFonts w:cstheme="minorHAnsi"/>
        </w:rPr>
        <w:t>consultation</w:t>
      </w:r>
      <w:r w:rsidRPr="00E32BD2">
        <w:rPr>
          <w:rFonts w:cstheme="minorHAnsi"/>
        </w:rPr>
        <w:t xml:space="preserve"> on EUSAIR A</w:t>
      </w:r>
      <w:r w:rsidR="002418AD">
        <w:rPr>
          <w:rFonts w:cstheme="minorHAnsi"/>
        </w:rPr>
        <w:t xml:space="preserve">ction </w:t>
      </w:r>
      <w:r w:rsidRPr="00E32BD2">
        <w:rPr>
          <w:rFonts w:cstheme="minorHAnsi"/>
        </w:rPr>
        <w:t>P</w:t>
      </w:r>
      <w:r w:rsidR="002418AD">
        <w:rPr>
          <w:rFonts w:cstheme="minorHAnsi"/>
        </w:rPr>
        <w:t>lan</w:t>
      </w:r>
      <w:r w:rsidRPr="00E32BD2">
        <w:rPr>
          <w:rFonts w:cstheme="minorHAnsi"/>
        </w:rPr>
        <w:t xml:space="preserve"> revision in TSGs and with relevant policy owners in the EUSAIR countries. It is to be used with </w:t>
      </w:r>
      <w:r w:rsidR="00CC682D">
        <w:rPr>
          <w:rFonts w:cstheme="minorHAnsi"/>
        </w:rPr>
        <w:t xml:space="preserve">the Initial </w:t>
      </w:r>
      <w:r w:rsidR="00FD093B">
        <w:rPr>
          <w:rFonts w:cstheme="minorHAnsi"/>
        </w:rPr>
        <w:t xml:space="preserve">policy </w:t>
      </w:r>
      <w:r w:rsidR="00CC682D">
        <w:rPr>
          <w:rFonts w:cstheme="minorHAnsi"/>
        </w:rPr>
        <w:t>paper for t</w:t>
      </w:r>
      <w:r w:rsidRPr="00E32BD2">
        <w:rPr>
          <w:rFonts w:cstheme="minorHAnsi"/>
        </w:rPr>
        <w:t xml:space="preserve">hematic </w:t>
      </w:r>
      <w:r w:rsidR="004C7A2A">
        <w:rPr>
          <w:rFonts w:cstheme="minorHAnsi"/>
        </w:rPr>
        <w:t>consultation</w:t>
      </w:r>
      <w:r w:rsidRPr="00E32BD2">
        <w:rPr>
          <w:rFonts w:cstheme="minorHAnsi"/>
        </w:rPr>
        <w:t xml:space="preserve"> and is intended to collect feedback from country policy owners. </w:t>
      </w:r>
    </w:p>
    <w:p w14:paraId="462D90E4" w14:textId="599CD5BE" w:rsidR="001827A0" w:rsidRPr="0061045B" w:rsidRDefault="00D6797E" w:rsidP="00D6797E">
      <w:pPr>
        <w:jc w:val="both"/>
        <w:rPr>
          <w:rFonts w:cstheme="minorHAnsi"/>
          <w:u w:val="single"/>
        </w:rPr>
      </w:pPr>
      <w:r w:rsidRPr="00E32BD2">
        <w:rPr>
          <w:rFonts w:cstheme="minorHAnsi"/>
        </w:rPr>
        <w:t>The overall process and context in which these documents w</w:t>
      </w:r>
      <w:r w:rsidR="001F7E36">
        <w:rPr>
          <w:rFonts w:cstheme="minorHAnsi"/>
        </w:rPr>
        <w:t>ill</w:t>
      </w:r>
      <w:r w:rsidRPr="00E32BD2">
        <w:rPr>
          <w:rFonts w:cstheme="minorHAnsi"/>
        </w:rPr>
        <w:t xml:space="preserve"> be used is described in </w:t>
      </w:r>
      <w:r w:rsidR="00F34E19">
        <w:rPr>
          <w:rFonts w:cstheme="minorHAnsi"/>
        </w:rPr>
        <w:t xml:space="preserve">the </w:t>
      </w:r>
      <w:r w:rsidRPr="00E32BD2">
        <w:rPr>
          <w:rFonts w:cstheme="minorHAnsi"/>
        </w:rPr>
        <w:t>Background</w:t>
      </w:r>
      <w:r w:rsidR="001F7E36">
        <w:rPr>
          <w:rFonts w:cstheme="minorHAnsi"/>
        </w:rPr>
        <w:t xml:space="preserve"> document with Roadmap</w:t>
      </w:r>
      <w:r w:rsidRPr="00E32BD2">
        <w:rPr>
          <w:rFonts w:cstheme="minorHAnsi"/>
        </w:rPr>
        <w:t xml:space="preserve"> on the EUSAIR Action Plan </w:t>
      </w:r>
      <w:r w:rsidR="001F7E36" w:rsidRPr="00E32BD2">
        <w:rPr>
          <w:rFonts w:cstheme="minorHAnsi"/>
        </w:rPr>
        <w:t xml:space="preserve">revision </w:t>
      </w:r>
      <w:r w:rsidRPr="00E32BD2">
        <w:rPr>
          <w:rFonts w:cstheme="minorHAnsi"/>
        </w:rPr>
        <w:t>v</w:t>
      </w:r>
      <w:r w:rsidR="001F7E36">
        <w:rPr>
          <w:rFonts w:cstheme="minorHAnsi"/>
        </w:rPr>
        <w:t>3</w:t>
      </w:r>
      <w:r w:rsidR="00FC5A76">
        <w:rPr>
          <w:rFonts w:cstheme="minorHAnsi"/>
        </w:rPr>
        <w:t>,</w:t>
      </w:r>
      <w:r w:rsidR="008216FA">
        <w:rPr>
          <w:rFonts w:cstheme="minorHAnsi"/>
        </w:rPr>
        <w:t xml:space="preserve"> presented to</w:t>
      </w:r>
      <w:r w:rsidRPr="00E32BD2">
        <w:rPr>
          <w:rFonts w:cstheme="minorHAnsi"/>
        </w:rPr>
        <w:t xml:space="preserve"> the National Coordinators</w:t>
      </w:r>
      <w:r w:rsidR="00FC5A76">
        <w:rPr>
          <w:rFonts w:cstheme="minorHAnsi"/>
        </w:rPr>
        <w:t xml:space="preserve"> a</w:t>
      </w:r>
      <w:r w:rsidR="008216FA">
        <w:rPr>
          <w:rFonts w:cstheme="minorHAnsi"/>
        </w:rPr>
        <w:t>t the</w:t>
      </w:r>
      <w:r w:rsidR="00FC5A76">
        <w:rPr>
          <w:rFonts w:cstheme="minorHAnsi"/>
        </w:rPr>
        <w:t xml:space="preserve"> 18</w:t>
      </w:r>
      <w:r w:rsidR="00FC5A76" w:rsidRPr="00780D04">
        <w:rPr>
          <w:rFonts w:cstheme="minorHAnsi"/>
          <w:vertAlign w:val="superscript"/>
        </w:rPr>
        <w:t>th</w:t>
      </w:r>
      <w:r w:rsidR="00FC5A76">
        <w:rPr>
          <w:rFonts w:cstheme="minorHAnsi"/>
        </w:rPr>
        <w:t xml:space="preserve"> Governing Board in Sarajevo</w:t>
      </w:r>
      <w:r w:rsidR="0061045B">
        <w:rPr>
          <w:rFonts w:cstheme="minorHAnsi"/>
        </w:rPr>
        <w:t>.</w:t>
      </w:r>
      <w:r w:rsidRPr="00E32BD2">
        <w:rPr>
          <w:rFonts w:cstheme="minorHAnsi"/>
        </w:rPr>
        <w:t xml:space="preserve"> </w:t>
      </w:r>
    </w:p>
    <w:p w14:paraId="7248AD3E" w14:textId="7AD0112D" w:rsidR="00064073" w:rsidRDefault="001827A0" w:rsidP="00C6115E">
      <w:pPr>
        <w:jc w:val="both"/>
      </w:pPr>
      <w:r>
        <w:t xml:space="preserve">This questionnaire shall be addressed to </w:t>
      </w:r>
      <w:r w:rsidR="00FB0B8A" w:rsidRPr="00AA13D8">
        <w:t>energy</w:t>
      </w:r>
      <w:r>
        <w:t xml:space="preserve"> governance structures. We propose for the TSG members to gather all relevant inputs from their country so that </w:t>
      </w:r>
      <w:r w:rsidRPr="0061045B">
        <w:rPr>
          <w:b/>
          <w:bCs/>
          <w:u w:val="single"/>
        </w:rPr>
        <w:t>only one questionnaire</w:t>
      </w:r>
      <w:r>
        <w:t xml:space="preserve"> is submitted from one country. The best way would be to organise a meeting or a workshop with relevant representatives of the sector to discuss </w:t>
      </w:r>
      <w:r w:rsidR="0023185A">
        <w:t>and agree on the country’s input.</w:t>
      </w:r>
      <w:r w:rsidR="00FC5A76">
        <w:t xml:space="preserve"> Facility Point project partners shall </w:t>
      </w:r>
      <w:r w:rsidR="000B2CA9">
        <w:t xml:space="preserve">technically </w:t>
      </w:r>
      <w:r w:rsidR="00FC5A76">
        <w:t xml:space="preserve">support the process upon request from TSG members or National Coordinators. </w:t>
      </w:r>
    </w:p>
    <w:p w14:paraId="44A85CC7" w14:textId="77777777" w:rsidR="00B85574" w:rsidRDefault="00B85574" w:rsidP="00B85574">
      <w:pPr>
        <w:jc w:val="both"/>
      </w:pPr>
      <w:r>
        <w:t xml:space="preserve">As described in the Background document each country has the national consultation organised differently and involving different sectors and governance levels. </w:t>
      </w:r>
    </w:p>
    <w:p w14:paraId="208DD6F2" w14:textId="07A70B91" w:rsidR="00FC5A76" w:rsidRPr="00780D04" w:rsidRDefault="00FC5A76" w:rsidP="00C6115E">
      <w:pPr>
        <w:jc w:val="both"/>
        <w:rPr>
          <w:b/>
          <w:bCs/>
        </w:rPr>
      </w:pPr>
      <w:r w:rsidRPr="00780D04">
        <w:rPr>
          <w:b/>
          <w:bCs/>
        </w:rPr>
        <w:t xml:space="preserve">The completed questionnaire shall be </w:t>
      </w:r>
      <w:r w:rsidR="00B85574">
        <w:rPr>
          <w:b/>
          <w:bCs/>
        </w:rPr>
        <w:t>returned</w:t>
      </w:r>
      <w:r w:rsidRPr="00780D04">
        <w:rPr>
          <w:b/>
          <w:bCs/>
        </w:rPr>
        <w:t xml:space="preserve"> to Pillar </w:t>
      </w:r>
      <w:r w:rsidR="002111EF">
        <w:rPr>
          <w:b/>
          <w:bCs/>
        </w:rPr>
        <w:t>2</w:t>
      </w:r>
      <w:r w:rsidRPr="00780D04">
        <w:rPr>
          <w:b/>
          <w:bCs/>
        </w:rPr>
        <w:t xml:space="preserve"> Coordinators, Pillar </w:t>
      </w:r>
      <w:r w:rsidR="002111EF">
        <w:rPr>
          <w:b/>
          <w:bCs/>
        </w:rPr>
        <w:t>2</w:t>
      </w:r>
      <w:r w:rsidRPr="00780D04">
        <w:rPr>
          <w:b/>
          <w:bCs/>
        </w:rPr>
        <w:t xml:space="preserve"> thematic expert</w:t>
      </w:r>
      <w:r w:rsidR="00FC307D">
        <w:rPr>
          <w:b/>
          <w:bCs/>
        </w:rPr>
        <w:t>(s)</w:t>
      </w:r>
      <w:r w:rsidRPr="00780D04">
        <w:rPr>
          <w:b/>
          <w:bCs/>
        </w:rPr>
        <w:t>, EC representative and Facility Point Lead Partner with external experts</w:t>
      </w:r>
      <w:r w:rsidR="00B85574" w:rsidRPr="00780D04">
        <w:rPr>
          <w:b/>
          <w:bCs/>
        </w:rPr>
        <w:t xml:space="preserve"> by 16 December</w:t>
      </w:r>
      <w:r w:rsidRPr="00780D04">
        <w:rPr>
          <w:b/>
          <w:bCs/>
        </w:rPr>
        <w:t>.</w:t>
      </w:r>
      <w:r w:rsidR="0023185A" w:rsidRPr="00780D04">
        <w:rPr>
          <w:b/>
          <w:bCs/>
        </w:rPr>
        <w:t xml:space="preserve"> </w:t>
      </w:r>
    </w:p>
    <w:p w14:paraId="221E3F82" w14:textId="625D2F89" w:rsidR="0061045B" w:rsidRDefault="00B85574" w:rsidP="00C6115E">
      <w:pPr>
        <w:jc w:val="both"/>
      </w:pPr>
      <w:r>
        <w:t xml:space="preserve">The </w:t>
      </w:r>
      <w:r w:rsidR="00FC5A76">
        <w:t>Pillar Coordinators, Pillar thematic experts</w:t>
      </w:r>
      <w:r>
        <w:t>,</w:t>
      </w:r>
      <w:r w:rsidR="00FC5A76">
        <w:t xml:space="preserve"> EC representative</w:t>
      </w:r>
      <w:r>
        <w:t xml:space="preserve"> supported by Facility point LP with external experts</w:t>
      </w:r>
      <w:r w:rsidR="00FC5A76">
        <w:t xml:space="preserve"> will organise the gathered information and prepare proposals to be discussed by the National coordinators presumably in January 2023 and at the next TSG meeting planned for February or March. At this next meeting agreements on the content shall be made by the TSG members.   </w:t>
      </w:r>
      <w:r w:rsidR="001827A0">
        <w:t xml:space="preserve">  </w:t>
      </w:r>
    </w:p>
    <w:p w14:paraId="301BED67" w14:textId="1780EC2D" w:rsidR="00A17A03" w:rsidRDefault="00A17A03" w:rsidP="00C6115E">
      <w:pPr>
        <w:jc w:val="both"/>
      </w:pPr>
      <w:r>
        <w:t xml:space="preserve">The purpose of this questionnaire is to structure and organise the gathering of country inputs using the same methodology for all 4 Pillars, however the respondents should not feel limited by the questionnaire. Any other information deemed important and not encompassed in the given questions </w:t>
      </w:r>
      <w:r w:rsidR="00B85574">
        <w:t xml:space="preserve">is welcome </w:t>
      </w:r>
      <w:r>
        <w:t xml:space="preserve">as well.  </w:t>
      </w:r>
    </w:p>
    <w:p w14:paraId="47F1382A" w14:textId="7D676DE2" w:rsidR="00FB0B8A" w:rsidRDefault="00FB0B8A" w:rsidP="00C6115E">
      <w:pPr>
        <w:jc w:val="both"/>
      </w:pPr>
      <w:r>
        <w:t>Suggestion on how to use the questionnaire: t</w:t>
      </w:r>
      <w:r w:rsidRPr="00FB0B8A">
        <w:t xml:space="preserve">he questionnaire is not meant to be circulated to the possible participants </w:t>
      </w:r>
      <w:r>
        <w:t>of</w:t>
      </w:r>
      <w:r w:rsidRPr="00FB0B8A">
        <w:t xml:space="preserve"> the workshop or meeting organised to collect the country inputs. We propose to share the Initial policy paper with participants, while the questionnaire is to be used by the organiser to lead the discussion at the workshop/meeting using the prepared questions</w:t>
      </w:r>
      <w:r w:rsidR="00AA13D8">
        <w:t xml:space="preserve"> or their simplification</w:t>
      </w:r>
      <w:r w:rsidRPr="00FB0B8A">
        <w:t>. The questionnaire should be completed by the organiser at the end of the workshop/meeting to summarise the information provided and agreed by the participants.</w:t>
      </w:r>
    </w:p>
    <w:p w14:paraId="0322DCF6" w14:textId="4B8B3508" w:rsidR="00215E64" w:rsidRDefault="00215E64" w:rsidP="00C6115E">
      <w:pPr>
        <w:jc w:val="both"/>
        <w:rPr>
          <w:rFonts w:cstheme="minorHAnsi"/>
        </w:rPr>
      </w:pPr>
      <w:r w:rsidRPr="00215E64">
        <w:rPr>
          <w:rFonts w:cstheme="minorHAnsi"/>
          <w:u w:val="single"/>
        </w:rPr>
        <w:t xml:space="preserve">Disclaimer: </w:t>
      </w:r>
      <w:r>
        <w:rPr>
          <w:rFonts w:cstheme="minorHAnsi"/>
        </w:rPr>
        <w:t>The gathered information w</w:t>
      </w:r>
      <w:r w:rsidR="001F7E36">
        <w:rPr>
          <w:rFonts w:cstheme="minorHAnsi"/>
        </w:rPr>
        <w:t>ill</w:t>
      </w:r>
      <w:r>
        <w:rPr>
          <w:rFonts w:cstheme="minorHAnsi"/>
        </w:rPr>
        <w:t xml:space="preserve"> be used for further </w:t>
      </w:r>
      <w:r w:rsidR="004C7A2A">
        <w:rPr>
          <w:rFonts w:cstheme="minorHAnsi"/>
        </w:rPr>
        <w:t>consultation</w:t>
      </w:r>
      <w:r>
        <w:rPr>
          <w:rFonts w:cstheme="minorHAnsi"/>
        </w:rPr>
        <w:t xml:space="preserve"> on the level of TSGs and N</w:t>
      </w:r>
      <w:r w:rsidR="00C6115E">
        <w:rPr>
          <w:rFonts w:cstheme="minorHAnsi"/>
        </w:rPr>
        <w:t xml:space="preserve">ational </w:t>
      </w:r>
      <w:r>
        <w:rPr>
          <w:rFonts w:cstheme="minorHAnsi"/>
        </w:rPr>
        <w:t>C</w:t>
      </w:r>
      <w:r w:rsidR="00C6115E">
        <w:rPr>
          <w:rFonts w:cstheme="minorHAnsi"/>
        </w:rPr>
        <w:t>oordinator</w:t>
      </w:r>
      <w:r>
        <w:rPr>
          <w:rFonts w:cstheme="minorHAnsi"/>
        </w:rPr>
        <w:t xml:space="preserve">s. The gathered elements from this questionnaire will be reflected in the final </w:t>
      </w:r>
      <w:r>
        <w:rPr>
          <w:rFonts w:cstheme="minorHAnsi"/>
        </w:rPr>
        <w:lastRenderedPageBreak/>
        <w:t>A</w:t>
      </w:r>
      <w:r w:rsidR="00C6115E">
        <w:rPr>
          <w:rFonts w:cstheme="minorHAnsi"/>
        </w:rPr>
        <w:t xml:space="preserve">ction </w:t>
      </w:r>
      <w:r>
        <w:rPr>
          <w:rFonts w:cstheme="minorHAnsi"/>
        </w:rPr>
        <w:t>P</w:t>
      </w:r>
      <w:r w:rsidR="00C6115E">
        <w:rPr>
          <w:rFonts w:cstheme="minorHAnsi"/>
        </w:rPr>
        <w:t>lan</w:t>
      </w:r>
      <w:r w:rsidR="001F7E36">
        <w:rPr>
          <w:rFonts w:cstheme="minorHAnsi"/>
        </w:rPr>
        <w:t>.</w:t>
      </w:r>
      <w:r>
        <w:rPr>
          <w:rFonts w:cstheme="minorHAnsi"/>
        </w:rPr>
        <w:t xml:space="preserve"> </w:t>
      </w:r>
      <w:r w:rsidR="001F7E36">
        <w:rPr>
          <w:rFonts w:cstheme="minorHAnsi"/>
        </w:rPr>
        <w:t>H</w:t>
      </w:r>
      <w:r>
        <w:rPr>
          <w:rFonts w:cstheme="minorHAnsi"/>
        </w:rPr>
        <w:t>owever</w:t>
      </w:r>
      <w:r w:rsidR="00871E90">
        <w:rPr>
          <w:rFonts w:cstheme="minorHAnsi"/>
        </w:rPr>
        <w:t>,</w:t>
      </w:r>
      <w:r>
        <w:rPr>
          <w:rFonts w:cstheme="minorHAnsi"/>
        </w:rPr>
        <w:t xml:space="preserve"> the decision regarding the inclusion of thematic elements in the revised A</w:t>
      </w:r>
      <w:r w:rsidR="00C6115E">
        <w:rPr>
          <w:rFonts w:cstheme="minorHAnsi"/>
        </w:rPr>
        <w:t xml:space="preserve">ction </w:t>
      </w:r>
      <w:r>
        <w:rPr>
          <w:rFonts w:cstheme="minorHAnsi"/>
        </w:rPr>
        <w:t>P</w:t>
      </w:r>
      <w:r w:rsidR="00C6115E">
        <w:rPr>
          <w:rFonts w:cstheme="minorHAnsi"/>
        </w:rPr>
        <w:t>lan</w:t>
      </w:r>
      <w:r>
        <w:rPr>
          <w:rFonts w:cstheme="minorHAnsi"/>
        </w:rPr>
        <w:t xml:space="preserve"> lies</w:t>
      </w:r>
      <w:r w:rsidR="00871E90">
        <w:rPr>
          <w:rFonts w:cstheme="minorHAnsi"/>
        </w:rPr>
        <w:t xml:space="preserve"> in the hands of </w:t>
      </w:r>
      <w:r w:rsidR="00F34E19">
        <w:rPr>
          <w:rFonts w:cstheme="minorHAnsi"/>
        </w:rPr>
        <w:t xml:space="preserve">the </w:t>
      </w:r>
      <w:r w:rsidR="00871E90">
        <w:rPr>
          <w:rFonts w:cstheme="minorHAnsi"/>
        </w:rPr>
        <w:t>EUSAIR G</w:t>
      </w:r>
      <w:r w:rsidR="00C6115E">
        <w:rPr>
          <w:rFonts w:cstheme="minorHAnsi"/>
        </w:rPr>
        <w:t xml:space="preserve">overning </w:t>
      </w:r>
      <w:r w:rsidR="00871E90">
        <w:rPr>
          <w:rFonts w:cstheme="minorHAnsi"/>
        </w:rPr>
        <w:t>B</w:t>
      </w:r>
      <w:r w:rsidR="00C6115E">
        <w:rPr>
          <w:rFonts w:cstheme="minorHAnsi"/>
        </w:rPr>
        <w:t>oard</w:t>
      </w:r>
      <w:r w:rsidR="00871E90">
        <w:rPr>
          <w:rFonts w:cstheme="minorHAnsi"/>
        </w:rPr>
        <w:t xml:space="preserve">. </w:t>
      </w:r>
      <w:r>
        <w:rPr>
          <w:rFonts w:cstheme="minorHAnsi"/>
        </w:rPr>
        <w:t xml:space="preserve">  </w:t>
      </w:r>
    </w:p>
    <w:p w14:paraId="3F40414E" w14:textId="112EA636" w:rsidR="00A17A03" w:rsidRDefault="001F7E36" w:rsidP="00C6115E">
      <w:pPr>
        <w:jc w:val="both"/>
      </w:pPr>
      <w:r>
        <w:t xml:space="preserve"> </w:t>
      </w:r>
    </w:p>
    <w:p w14:paraId="0096D4EA" w14:textId="06FB6BB7" w:rsidR="006705A9" w:rsidRPr="00780D04" w:rsidRDefault="00D6797E" w:rsidP="00587CAC">
      <w:pPr>
        <w:pStyle w:val="Naslov2"/>
        <w:numPr>
          <w:ilvl w:val="0"/>
          <w:numId w:val="46"/>
        </w:numPr>
        <w:rPr>
          <w:b/>
          <w:bCs/>
          <w:sz w:val="20"/>
          <w:szCs w:val="20"/>
        </w:rPr>
      </w:pPr>
      <w:r w:rsidRPr="00780D04">
        <w:t>Topic 1</w:t>
      </w:r>
      <w:r w:rsidR="003470D7" w:rsidRPr="00780D04">
        <w:t>:</w:t>
      </w:r>
      <w:r w:rsidR="005832B0">
        <w:t xml:space="preserve"> Energy </w:t>
      </w:r>
      <w:r w:rsidR="008216FA">
        <w:t>net</w:t>
      </w:r>
      <w:r w:rsidR="005832B0">
        <w:t>works</w:t>
      </w:r>
      <w:r w:rsidR="006705A9" w:rsidRPr="008C0795">
        <w:rPr>
          <w:b/>
          <w:bCs/>
          <w:sz w:val="20"/>
          <w:szCs w:val="20"/>
        </w:rPr>
        <w:t xml:space="preserve"> </w:t>
      </w:r>
    </w:p>
    <w:p w14:paraId="50C5BD9A" w14:textId="77777777" w:rsidR="00871E90" w:rsidRPr="00E32BD2" w:rsidRDefault="00871E90" w:rsidP="006705A9"/>
    <w:p w14:paraId="73DBA9C1" w14:textId="1B823E01" w:rsidR="00E32BD2" w:rsidRDefault="00E32BD2" w:rsidP="00E32BD2">
      <w:pPr>
        <w:pStyle w:val="Naslov3"/>
        <w:numPr>
          <w:ilvl w:val="1"/>
          <w:numId w:val="1"/>
        </w:numPr>
      </w:pPr>
      <w:r>
        <w:t>Challenges</w:t>
      </w:r>
    </w:p>
    <w:p w14:paraId="6E9174F7" w14:textId="77777777" w:rsidR="007A4FC5" w:rsidRPr="007A4FC5" w:rsidRDefault="007A4FC5" w:rsidP="007A4FC5"/>
    <w:p w14:paraId="50B86DEE" w14:textId="71B78FBD" w:rsidR="00E32BD2" w:rsidRDefault="005A6EF7" w:rsidP="00A375A8">
      <w:pPr>
        <w:pStyle w:val="Odstavekseznama"/>
        <w:numPr>
          <w:ilvl w:val="2"/>
          <w:numId w:val="1"/>
        </w:numPr>
      </w:pPr>
      <w:r w:rsidRPr="00E32BD2">
        <w:t xml:space="preserve">Please </w:t>
      </w:r>
      <w:r w:rsidRPr="006F60E0">
        <w:rPr>
          <w:b/>
        </w:rPr>
        <w:t>prioritise</w:t>
      </w:r>
      <w:r w:rsidRPr="00E32BD2">
        <w:t xml:space="preserve"> </w:t>
      </w:r>
      <w:r w:rsidRPr="00017CBB">
        <w:rPr>
          <w:b/>
        </w:rPr>
        <w:t xml:space="preserve">the </w:t>
      </w:r>
      <w:r w:rsidR="00E32BD2" w:rsidRPr="00017CBB">
        <w:rPr>
          <w:b/>
        </w:rPr>
        <w:t>challenges</w:t>
      </w:r>
      <w:r w:rsidRPr="00E32BD2">
        <w:t xml:space="preserve"> provided in the </w:t>
      </w:r>
      <w:r w:rsidR="00CC682D">
        <w:t>initial</w:t>
      </w:r>
      <w:r w:rsidRPr="00E32BD2">
        <w:t xml:space="preserve"> </w:t>
      </w:r>
      <w:r w:rsidR="00EB6BE7">
        <w:t>policy</w:t>
      </w:r>
      <w:r w:rsidR="00CC682D">
        <w:t xml:space="preserve"> </w:t>
      </w:r>
      <w:r w:rsidRPr="00E32BD2">
        <w:t>paper to reflect</w:t>
      </w:r>
      <w:r w:rsidR="00DE15CB">
        <w:t xml:space="preserve"> how relevant they are as regards the added value </w:t>
      </w:r>
      <w:r w:rsidR="00032DC2">
        <w:t xml:space="preserve">of being tackled </w:t>
      </w:r>
      <w:r w:rsidR="00DE15CB">
        <w:t>by EUSAIR</w:t>
      </w:r>
      <w:r w:rsidR="00E32BD2">
        <w:t>.</w:t>
      </w:r>
      <w:r w:rsidR="00A375A8">
        <w:t xml:space="preserve"> </w:t>
      </w:r>
      <w:r w:rsidR="00A375A8" w:rsidRPr="00E62884">
        <w:rPr>
          <w:i/>
          <w:iCs/>
          <w:highlight w:val="yellow"/>
        </w:rPr>
        <w:t>(1 being the most important, other follow in the numerical order).</w:t>
      </w:r>
    </w:p>
    <w:p w14:paraId="74A4A98C" w14:textId="77777777" w:rsidR="006F60E0" w:rsidRDefault="006F60E0" w:rsidP="006F60E0">
      <w:pPr>
        <w:pStyle w:val="Odstavekseznama"/>
      </w:pPr>
    </w:p>
    <w:p w14:paraId="1D2CA7F3" w14:textId="2A123ADA" w:rsidR="006F60E0" w:rsidRPr="00780D04" w:rsidRDefault="006F60E0" w:rsidP="006F60E0">
      <w:pPr>
        <w:pStyle w:val="Odstavekseznama"/>
        <w:rPr>
          <w:i/>
          <w:iCs/>
          <w:sz w:val="20"/>
          <w:szCs w:val="20"/>
        </w:rPr>
      </w:pPr>
      <w:r w:rsidRPr="00780D04">
        <w:rPr>
          <w:sz w:val="20"/>
          <w:szCs w:val="20"/>
        </w:rPr>
        <w:t>I</w:t>
      </w:r>
      <w:r w:rsidRPr="00780D04">
        <w:rPr>
          <w:i/>
          <w:iCs/>
          <w:sz w:val="20"/>
          <w:szCs w:val="20"/>
        </w:rPr>
        <w:t>n the A</w:t>
      </w:r>
      <w:r w:rsidR="006D0053">
        <w:rPr>
          <w:i/>
          <w:iCs/>
          <w:sz w:val="20"/>
          <w:szCs w:val="20"/>
        </w:rPr>
        <w:t>driatic Ionian Region</w:t>
      </w:r>
      <w:r w:rsidRPr="00780D04">
        <w:rPr>
          <w:i/>
          <w:iCs/>
          <w:sz w:val="20"/>
          <w:szCs w:val="20"/>
        </w:rPr>
        <w:t xml:space="preserve"> it is noted:</w:t>
      </w:r>
    </w:p>
    <w:tbl>
      <w:tblPr>
        <w:tblStyle w:val="Tabelamrea"/>
        <w:tblW w:w="0" w:type="auto"/>
        <w:tblInd w:w="720" w:type="dxa"/>
        <w:tblLook w:val="04A0" w:firstRow="1" w:lastRow="0" w:firstColumn="1" w:lastColumn="0" w:noHBand="0" w:noVBand="1"/>
      </w:tblPr>
      <w:tblGrid>
        <w:gridCol w:w="551"/>
        <w:gridCol w:w="7791"/>
      </w:tblGrid>
      <w:tr w:rsidR="00DD5169" w:rsidRPr="006D0053" w14:paraId="6A81AAFF" w14:textId="77777777" w:rsidTr="006F60E0">
        <w:tc>
          <w:tcPr>
            <w:tcW w:w="551" w:type="dxa"/>
          </w:tcPr>
          <w:p w14:paraId="15D8CAD0" w14:textId="77777777" w:rsidR="00DD5169" w:rsidRPr="00780D04" w:rsidRDefault="00DD5169" w:rsidP="006F60E0">
            <w:pPr>
              <w:pStyle w:val="Odstavekseznama"/>
              <w:ind w:left="0"/>
              <w:rPr>
                <w:i/>
                <w:iCs/>
                <w:sz w:val="20"/>
                <w:szCs w:val="20"/>
              </w:rPr>
            </w:pPr>
          </w:p>
        </w:tc>
        <w:tc>
          <w:tcPr>
            <w:tcW w:w="7791" w:type="dxa"/>
          </w:tcPr>
          <w:p w14:paraId="38E9557F" w14:textId="311FAB09" w:rsidR="00DD5169" w:rsidRPr="008216FA" w:rsidRDefault="00DD5169" w:rsidP="00780D04">
            <w:pPr>
              <w:pStyle w:val="Default"/>
              <w:rPr>
                <w:i/>
                <w:iCs/>
                <w:sz w:val="20"/>
                <w:szCs w:val="20"/>
              </w:rPr>
            </w:pPr>
            <w:r w:rsidRPr="00DD5169">
              <w:rPr>
                <w:i/>
                <w:iCs/>
                <w:sz w:val="20"/>
                <w:szCs w:val="20"/>
              </w:rPr>
              <w:t>Integrated natural gas corridors, infrastructure and market supporting the energy transition of the Adriatic-Ionian Region.</w:t>
            </w:r>
          </w:p>
        </w:tc>
      </w:tr>
      <w:tr w:rsidR="006F60E0" w:rsidRPr="006D0053" w14:paraId="7BA93A53" w14:textId="77777777" w:rsidTr="006F60E0">
        <w:tc>
          <w:tcPr>
            <w:tcW w:w="551" w:type="dxa"/>
          </w:tcPr>
          <w:p w14:paraId="23FB9943" w14:textId="77777777" w:rsidR="006F60E0" w:rsidRPr="00780D04" w:rsidRDefault="006F60E0" w:rsidP="006F60E0">
            <w:pPr>
              <w:pStyle w:val="Odstavekseznama"/>
              <w:ind w:left="0"/>
              <w:rPr>
                <w:i/>
                <w:iCs/>
                <w:sz w:val="20"/>
                <w:szCs w:val="20"/>
              </w:rPr>
            </w:pPr>
          </w:p>
        </w:tc>
        <w:tc>
          <w:tcPr>
            <w:tcW w:w="7791" w:type="dxa"/>
          </w:tcPr>
          <w:p w14:paraId="06335DFC" w14:textId="7A35C276" w:rsidR="006F60E0" w:rsidRPr="008216FA" w:rsidRDefault="00595388" w:rsidP="00780D04">
            <w:pPr>
              <w:pStyle w:val="Default"/>
              <w:rPr>
                <w:i/>
                <w:iCs/>
                <w:sz w:val="20"/>
                <w:szCs w:val="20"/>
              </w:rPr>
            </w:pPr>
            <w:r w:rsidRPr="008216FA">
              <w:rPr>
                <w:i/>
                <w:iCs/>
                <w:sz w:val="20"/>
                <w:szCs w:val="20"/>
              </w:rPr>
              <w:t>Even though energy transmission systems are strongly interconnected in the Energy Community Partner Countries, the electricity market activities in the AIR are restricted due to inefficient use and low exploitation of interconnections as well as subsidies causing electricity market distortions in WB</w:t>
            </w:r>
          </w:p>
        </w:tc>
      </w:tr>
      <w:tr w:rsidR="006F60E0" w:rsidRPr="006D0053" w14:paraId="0CD01C0D" w14:textId="77777777" w:rsidTr="006F60E0">
        <w:tc>
          <w:tcPr>
            <w:tcW w:w="551" w:type="dxa"/>
          </w:tcPr>
          <w:p w14:paraId="262F81AF" w14:textId="77777777" w:rsidR="006F60E0" w:rsidRPr="00780D04" w:rsidRDefault="006F60E0" w:rsidP="006F60E0">
            <w:pPr>
              <w:pStyle w:val="Odstavekseznama"/>
              <w:ind w:left="0"/>
              <w:rPr>
                <w:i/>
                <w:iCs/>
                <w:sz w:val="20"/>
                <w:szCs w:val="20"/>
              </w:rPr>
            </w:pPr>
          </w:p>
        </w:tc>
        <w:tc>
          <w:tcPr>
            <w:tcW w:w="7791" w:type="dxa"/>
          </w:tcPr>
          <w:p w14:paraId="078ED00C" w14:textId="671F97F4" w:rsidR="006F60E0" w:rsidRPr="008216FA" w:rsidRDefault="00595388" w:rsidP="00780D04">
            <w:pPr>
              <w:pStyle w:val="Default"/>
              <w:rPr>
                <w:i/>
                <w:iCs/>
                <w:sz w:val="20"/>
                <w:szCs w:val="20"/>
              </w:rPr>
            </w:pPr>
            <w:r w:rsidRPr="008216FA">
              <w:rPr>
                <w:i/>
                <w:iCs/>
                <w:sz w:val="20"/>
                <w:szCs w:val="20"/>
              </w:rPr>
              <w:t>Exclusion of natural gas infrastructure from the new TEN-E Regulation and the need to repurpose LNG infrastructure to renewables in the future</w:t>
            </w:r>
          </w:p>
        </w:tc>
      </w:tr>
      <w:tr w:rsidR="006F60E0" w:rsidRPr="006D0053" w14:paraId="5195CBD4" w14:textId="77777777" w:rsidTr="006F60E0">
        <w:tc>
          <w:tcPr>
            <w:tcW w:w="551" w:type="dxa"/>
          </w:tcPr>
          <w:p w14:paraId="26D0E156" w14:textId="77777777" w:rsidR="006F60E0" w:rsidRPr="00780D04" w:rsidRDefault="006F60E0" w:rsidP="006F60E0">
            <w:pPr>
              <w:pStyle w:val="Odstavekseznama"/>
              <w:ind w:left="0"/>
              <w:rPr>
                <w:i/>
                <w:iCs/>
                <w:sz w:val="20"/>
                <w:szCs w:val="20"/>
              </w:rPr>
            </w:pPr>
          </w:p>
        </w:tc>
        <w:tc>
          <w:tcPr>
            <w:tcW w:w="7791" w:type="dxa"/>
          </w:tcPr>
          <w:p w14:paraId="36616614" w14:textId="1C1189EF" w:rsidR="006F60E0" w:rsidRPr="008216FA" w:rsidRDefault="00595388" w:rsidP="00780D04">
            <w:pPr>
              <w:pStyle w:val="Default"/>
              <w:rPr>
                <w:i/>
                <w:iCs/>
                <w:sz w:val="20"/>
                <w:szCs w:val="20"/>
              </w:rPr>
            </w:pPr>
            <w:r w:rsidRPr="008216FA">
              <w:rPr>
                <w:i/>
                <w:iCs/>
                <w:sz w:val="20"/>
                <w:szCs w:val="20"/>
              </w:rPr>
              <w:t>Challenges related to readiness of the regional gas infrastructure for biomethane and hydrogen and the need to identify priorities for corresponding future investments in infrastructure.</w:t>
            </w:r>
            <w:r w:rsidRPr="008216FA" w:rsidDel="00595388">
              <w:rPr>
                <w:i/>
                <w:iCs/>
                <w:sz w:val="20"/>
                <w:szCs w:val="20"/>
              </w:rPr>
              <w:t xml:space="preserve"> </w:t>
            </w:r>
          </w:p>
        </w:tc>
      </w:tr>
      <w:tr w:rsidR="00595388" w:rsidRPr="006D0053" w14:paraId="6315F8C8" w14:textId="77777777" w:rsidTr="006F60E0">
        <w:tc>
          <w:tcPr>
            <w:tcW w:w="551" w:type="dxa"/>
          </w:tcPr>
          <w:p w14:paraId="07CA5D4A" w14:textId="77777777" w:rsidR="00595388" w:rsidRPr="006D0053" w:rsidRDefault="00595388" w:rsidP="006F60E0">
            <w:pPr>
              <w:pStyle w:val="Odstavekseznama"/>
              <w:ind w:left="0"/>
              <w:rPr>
                <w:i/>
                <w:iCs/>
                <w:sz w:val="20"/>
                <w:szCs w:val="20"/>
              </w:rPr>
            </w:pPr>
          </w:p>
        </w:tc>
        <w:tc>
          <w:tcPr>
            <w:tcW w:w="7791" w:type="dxa"/>
          </w:tcPr>
          <w:p w14:paraId="796998C0" w14:textId="67ECA055" w:rsidR="00595388" w:rsidRPr="008216FA" w:rsidRDefault="006A7193" w:rsidP="00780D04">
            <w:pPr>
              <w:pStyle w:val="Default"/>
              <w:rPr>
                <w:i/>
                <w:iCs/>
                <w:sz w:val="20"/>
                <w:szCs w:val="20"/>
              </w:rPr>
            </w:pPr>
            <w:r w:rsidRPr="008216FA">
              <w:rPr>
                <w:i/>
                <w:iCs/>
                <w:sz w:val="20"/>
                <w:szCs w:val="20"/>
              </w:rPr>
              <w:t>Pending Treaty reform in the Energy Community Parties envisaging reciprocity with Member States and credible enforcement of Energy Community rules, which are relevant to facilitate market integration</w:t>
            </w:r>
          </w:p>
        </w:tc>
      </w:tr>
      <w:tr w:rsidR="00595388" w:rsidRPr="006D0053" w14:paraId="58C0E616" w14:textId="77777777" w:rsidTr="006F60E0">
        <w:tc>
          <w:tcPr>
            <w:tcW w:w="551" w:type="dxa"/>
          </w:tcPr>
          <w:p w14:paraId="2D190728" w14:textId="77777777" w:rsidR="00595388" w:rsidRPr="006D0053" w:rsidRDefault="00595388" w:rsidP="006F60E0">
            <w:pPr>
              <w:pStyle w:val="Odstavekseznama"/>
              <w:ind w:left="0"/>
              <w:rPr>
                <w:i/>
                <w:iCs/>
                <w:sz w:val="20"/>
                <w:szCs w:val="20"/>
              </w:rPr>
            </w:pPr>
          </w:p>
        </w:tc>
        <w:tc>
          <w:tcPr>
            <w:tcW w:w="7791" w:type="dxa"/>
          </w:tcPr>
          <w:p w14:paraId="343462D9" w14:textId="7409E3C1" w:rsidR="00595388" w:rsidRPr="008216FA" w:rsidRDefault="006A7193" w:rsidP="00780D04">
            <w:pPr>
              <w:pStyle w:val="Default"/>
              <w:rPr>
                <w:i/>
                <w:iCs/>
                <w:sz w:val="20"/>
                <w:szCs w:val="20"/>
              </w:rPr>
            </w:pPr>
            <w:r w:rsidRPr="008216FA">
              <w:rPr>
                <w:i/>
                <w:iCs/>
                <w:sz w:val="20"/>
                <w:szCs w:val="20"/>
              </w:rPr>
              <w:t>Regulatory barriers that hinder market integration and the functioning of power exchanges in the region.</w:t>
            </w:r>
          </w:p>
        </w:tc>
      </w:tr>
      <w:tr w:rsidR="006A7193" w:rsidRPr="006D0053" w14:paraId="38F6E5A3" w14:textId="77777777" w:rsidTr="006F60E0">
        <w:tc>
          <w:tcPr>
            <w:tcW w:w="551" w:type="dxa"/>
          </w:tcPr>
          <w:p w14:paraId="1196A417" w14:textId="77777777" w:rsidR="006A7193" w:rsidRPr="006D0053" w:rsidRDefault="006A7193" w:rsidP="006F60E0">
            <w:pPr>
              <w:pStyle w:val="Odstavekseznama"/>
              <w:ind w:left="0"/>
              <w:rPr>
                <w:i/>
                <w:iCs/>
                <w:sz w:val="20"/>
                <w:szCs w:val="20"/>
              </w:rPr>
            </w:pPr>
          </w:p>
        </w:tc>
        <w:tc>
          <w:tcPr>
            <w:tcW w:w="7791" w:type="dxa"/>
          </w:tcPr>
          <w:p w14:paraId="5B21C106" w14:textId="5A315839" w:rsidR="006A7193" w:rsidRPr="008216FA" w:rsidRDefault="006A7193" w:rsidP="00780D04">
            <w:pPr>
              <w:pStyle w:val="Default"/>
              <w:rPr>
                <w:i/>
                <w:iCs/>
                <w:sz w:val="20"/>
                <w:szCs w:val="20"/>
              </w:rPr>
            </w:pPr>
            <w:r w:rsidRPr="008216FA">
              <w:rPr>
                <w:i/>
                <w:iCs/>
                <w:sz w:val="20"/>
                <w:szCs w:val="20"/>
              </w:rPr>
              <w:t>The existing electricity grid cannot accommodate generation of large amounts of electricity from intermittent renewables and distributed energy sources.</w:t>
            </w:r>
          </w:p>
        </w:tc>
      </w:tr>
    </w:tbl>
    <w:p w14:paraId="576A8212" w14:textId="77777777" w:rsidR="00F04A9C" w:rsidRDefault="00F04A9C" w:rsidP="00F04A9C">
      <w:pPr>
        <w:pStyle w:val="Odstavekseznama"/>
      </w:pPr>
    </w:p>
    <w:p w14:paraId="0B19400B" w14:textId="198BC50A" w:rsidR="00CC682D" w:rsidRPr="007E5464" w:rsidRDefault="00E90746" w:rsidP="00E32BD2">
      <w:pPr>
        <w:pStyle w:val="Odstavekseznama"/>
        <w:numPr>
          <w:ilvl w:val="2"/>
          <w:numId w:val="1"/>
        </w:numPr>
      </w:pPr>
      <w:r w:rsidRPr="007E5464">
        <w:t>Are there</w:t>
      </w:r>
      <w:r w:rsidR="00CC682D" w:rsidRPr="007E5464">
        <w:t xml:space="preserve"> any suggestions for reformulation/specification of the challenges provided in the initial </w:t>
      </w:r>
      <w:r w:rsidR="00EB6BE7" w:rsidRPr="007E5464">
        <w:t>policy</w:t>
      </w:r>
      <w:r w:rsidR="00CC682D" w:rsidRPr="007E5464">
        <w:t xml:space="preserve"> paper</w:t>
      </w:r>
      <w:r w:rsidRPr="007E5464">
        <w:t xml:space="preserve"> to </w:t>
      </w:r>
      <w:r w:rsidR="008675A0">
        <w:t xml:space="preserve">better </w:t>
      </w:r>
      <w:r w:rsidRPr="007E5464">
        <w:t xml:space="preserve">reflect </w:t>
      </w:r>
      <w:r w:rsidR="008675A0">
        <w:t>the situation in the Adriatic Ionian Region</w:t>
      </w:r>
      <w:r w:rsidRPr="007E5464">
        <w:t>?</w:t>
      </w:r>
    </w:p>
    <w:p w14:paraId="30ACB57D" w14:textId="77777777" w:rsidR="00E62884" w:rsidRDefault="00E62884" w:rsidP="00E62884">
      <w:pPr>
        <w:pStyle w:val="Odstavekseznama"/>
      </w:pPr>
    </w:p>
    <w:tbl>
      <w:tblPr>
        <w:tblStyle w:val="Tabelamrea"/>
        <w:tblW w:w="0" w:type="auto"/>
        <w:tblInd w:w="720" w:type="dxa"/>
        <w:tblLook w:val="04A0" w:firstRow="1" w:lastRow="0" w:firstColumn="1" w:lastColumn="0" w:noHBand="0" w:noVBand="1"/>
      </w:tblPr>
      <w:tblGrid>
        <w:gridCol w:w="8342"/>
      </w:tblGrid>
      <w:tr w:rsidR="00F04A9C" w14:paraId="3E2A185E" w14:textId="77777777" w:rsidTr="00F04A9C">
        <w:tc>
          <w:tcPr>
            <w:tcW w:w="9062" w:type="dxa"/>
          </w:tcPr>
          <w:p w14:paraId="3C7A62B9" w14:textId="77777777" w:rsidR="00F04A9C" w:rsidRDefault="00F04A9C" w:rsidP="00F04A9C">
            <w:pPr>
              <w:pStyle w:val="Odstavekseznama"/>
              <w:ind w:left="0"/>
            </w:pPr>
          </w:p>
        </w:tc>
      </w:tr>
    </w:tbl>
    <w:p w14:paraId="35467486" w14:textId="77777777" w:rsidR="00F04A9C" w:rsidRDefault="00F04A9C" w:rsidP="00F04A9C">
      <w:pPr>
        <w:pStyle w:val="Odstavekseznama"/>
      </w:pPr>
    </w:p>
    <w:p w14:paraId="3B1399CC" w14:textId="67E55FB4" w:rsidR="00032DC2" w:rsidRPr="007E5464" w:rsidRDefault="00E32BD2" w:rsidP="00780D04">
      <w:pPr>
        <w:pStyle w:val="Odstavekseznama"/>
        <w:numPr>
          <w:ilvl w:val="2"/>
          <w:numId w:val="1"/>
        </w:numPr>
      </w:pPr>
      <w:r w:rsidRPr="007E5464">
        <w:t xml:space="preserve">Is there another challenge </w:t>
      </w:r>
      <w:r w:rsidR="00032DC2" w:rsidRPr="007E5464">
        <w:t xml:space="preserve">concerning the thematic field of </w:t>
      </w:r>
      <w:r w:rsidR="006D0053" w:rsidRPr="007E5464">
        <w:rPr>
          <w:i/>
          <w:iCs/>
        </w:rPr>
        <w:t>Topic 1:</w:t>
      </w:r>
      <w:r w:rsidR="006D0053" w:rsidRPr="007E5464">
        <w:t xml:space="preserve"> </w:t>
      </w:r>
      <w:r w:rsidR="007E5464">
        <w:rPr>
          <w:i/>
          <w:iCs/>
        </w:rPr>
        <w:t>Energy networks</w:t>
      </w:r>
      <w:r w:rsidR="00032DC2" w:rsidRPr="007E5464">
        <w:t xml:space="preserve">, for which you see an added value of being addressed at EUSAIR level? The challenge should be specific to the EUSAIR territory and scope.   </w:t>
      </w:r>
    </w:p>
    <w:p w14:paraId="3C3D9D79" w14:textId="14DF2EE0" w:rsidR="00F04A9C" w:rsidRDefault="00F04A9C" w:rsidP="00F04A9C">
      <w:pPr>
        <w:pStyle w:val="Odstavekseznama"/>
      </w:pPr>
    </w:p>
    <w:tbl>
      <w:tblPr>
        <w:tblStyle w:val="Tabelamrea"/>
        <w:tblW w:w="0" w:type="auto"/>
        <w:tblInd w:w="720" w:type="dxa"/>
        <w:tblLook w:val="04A0" w:firstRow="1" w:lastRow="0" w:firstColumn="1" w:lastColumn="0" w:noHBand="0" w:noVBand="1"/>
      </w:tblPr>
      <w:tblGrid>
        <w:gridCol w:w="8342"/>
      </w:tblGrid>
      <w:tr w:rsidR="00F04A9C" w14:paraId="0309DBEF" w14:textId="77777777" w:rsidTr="00BC5D33">
        <w:tc>
          <w:tcPr>
            <w:tcW w:w="9062" w:type="dxa"/>
          </w:tcPr>
          <w:p w14:paraId="4AB45411" w14:textId="77777777" w:rsidR="00F04A9C" w:rsidRDefault="00F04A9C" w:rsidP="00BC5D33">
            <w:pPr>
              <w:pStyle w:val="Odstavekseznama"/>
              <w:ind w:left="0"/>
            </w:pPr>
          </w:p>
        </w:tc>
      </w:tr>
    </w:tbl>
    <w:p w14:paraId="274320A1" w14:textId="77777777" w:rsidR="00F04A9C" w:rsidRPr="00E32BD2" w:rsidRDefault="00F04A9C" w:rsidP="006F60E0"/>
    <w:p w14:paraId="1480BD3A" w14:textId="29E81E08" w:rsidR="006D0053" w:rsidRDefault="006D0053" w:rsidP="00E32BD2">
      <w:pPr>
        <w:pStyle w:val="Odstavekseznama"/>
      </w:pPr>
    </w:p>
    <w:p w14:paraId="614E1A53" w14:textId="0B5E6DCE" w:rsidR="00E32BD2" w:rsidRDefault="00E32BD2" w:rsidP="00E32BD2">
      <w:pPr>
        <w:pStyle w:val="Naslov3"/>
        <w:numPr>
          <w:ilvl w:val="1"/>
          <w:numId w:val="1"/>
        </w:numPr>
      </w:pPr>
      <w:r>
        <w:lastRenderedPageBreak/>
        <w:t>Objectives</w:t>
      </w:r>
    </w:p>
    <w:p w14:paraId="727EC54A" w14:textId="1B903FA8" w:rsidR="006D0053" w:rsidRDefault="006D0053" w:rsidP="006D0053"/>
    <w:p w14:paraId="07E6C981" w14:textId="3CC19794" w:rsidR="008A4F7F" w:rsidRDefault="008A4F7F" w:rsidP="006D0053">
      <w:r>
        <w:t xml:space="preserve">The </w:t>
      </w:r>
      <w:r w:rsidRPr="00780D04">
        <w:rPr>
          <w:b/>
          <w:bCs/>
        </w:rPr>
        <w:t xml:space="preserve">objective </w:t>
      </w:r>
      <w:r>
        <w:t>of the 2014 Action Plan was updated in the initial policy paper:</w:t>
      </w:r>
    </w:p>
    <w:p w14:paraId="3CAE0C2D" w14:textId="5BA5EB5E" w:rsidR="00352F52" w:rsidRPr="008216FA" w:rsidRDefault="00DD5169" w:rsidP="00780D04">
      <w:pPr>
        <w:rPr>
          <w:i/>
          <w:iCs/>
          <w:sz w:val="20"/>
          <w:szCs w:val="20"/>
        </w:rPr>
      </w:pPr>
      <w:r w:rsidRPr="00DD5169">
        <w:rPr>
          <w:i/>
          <w:iCs/>
          <w:sz w:val="20"/>
          <w:szCs w:val="20"/>
        </w:rPr>
        <w:t>To achieve a well-interconnected and well-functioning internal energy market in the Adriatic-Ionian Region. Priorities are: enacting the energy goals of The EU Green Deal and the Green Agenda for Western Balkans while promoting security of energy supply, resilience of energy infrastructure, energy affordability and access.</w:t>
      </w:r>
    </w:p>
    <w:p w14:paraId="69FB2B16" w14:textId="77777777" w:rsidR="006D0053" w:rsidRDefault="006D0053" w:rsidP="00780D04">
      <w:pPr>
        <w:pStyle w:val="Odstavekseznama"/>
      </w:pPr>
    </w:p>
    <w:p w14:paraId="32BE8809" w14:textId="3C51108C" w:rsidR="006D0053" w:rsidRDefault="006D0053" w:rsidP="00780D04">
      <w:pPr>
        <w:pStyle w:val="Odstavekseznama"/>
        <w:numPr>
          <w:ilvl w:val="2"/>
          <w:numId w:val="29"/>
        </w:numPr>
      </w:pPr>
      <w:r>
        <w:t>Are there any suggestions for its reformulation/specification?</w:t>
      </w:r>
      <w:r w:rsidRPr="006D0053">
        <w:t xml:space="preserve"> </w:t>
      </w:r>
      <w:r>
        <w:t xml:space="preserve">Please, consider also the different trends in </w:t>
      </w:r>
      <w:r w:rsidR="000B582E">
        <w:t xml:space="preserve">energy </w:t>
      </w:r>
      <w:r>
        <w:t xml:space="preserve">policy </w:t>
      </w:r>
      <w:r w:rsidR="000B582E">
        <w:t xml:space="preserve">relevant for </w:t>
      </w:r>
      <w:r>
        <w:t>the main objective.</w:t>
      </w:r>
    </w:p>
    <w:p w14:paraId="5727BB0F" w14:textId="77777777" w:rsidR="00E62884" w:rsidRDefault="00E62884" w:rsidP="00E62884">
      <w:pPr>
        <w:pStyle w:val="Odstavekseznama"/>
      </w:pPr>
    </w:p>
    <w:tbl>
      <w:tblPr>
        <w:tblStyle w:val="Tabelamrea"/>
        <w:tblW w:w="0" w:type="auto"/>
        <w:tblInd w:w="720" w:type="dxa"/>
        <w:tblLook w:val="04A0" w:firstRow="1" w:lastRow="0" w:firstColumn="1" w:lastColumn="0" w:noHBand="0" w:noVBand="1"/>
      </w:tblPr>
      <w:tblGrid>
        <w:gridCol w:w="8342"/>
      </w:tblGrid>
      <w:tr w:rsidR="00F04A9C" w14:paraId="357537B3" w14:textId="77777777" w:rsidTr="00BC5D33">
        <w:tc>
          <w:tcPr>
            <w:tcW w:w="9062" w:type="dxa"/>
          </w:tcPr>
          <w:p w14:paraId="2A08FA40" w14:textId="77777777" w:rsidR="00F04A9C" w:rsidRDefault="00F04A9C" w:rsidP="00F04A9C">
            <w:pPr>
              <w:pStyle w:val="Odstavekseznama"/>
              <w:ind w:left="360"/>
            </w:pPr>
          </w:p>
        </w:tc>
      </w:tr>
    </w:tbl>
    <w:p w14:paraId="06D5F196" w14:textId="77777777" w:rsidR="006D0053" w:rsidRDefault="006D0053" w:rsidP="00F04A9C">
      <w:pPr>
        <w:pStyle w:val="Odstavekseznama"/>
      </w:pPr>
    </w:p>
    <w:p w14:paraId="6CE6AEAF" w14:textId="3FE672FC" w:rsidR="00F04A9C" w:rsidRDefault="000B2CA9" w:rsidP="00F04A9C">
      <w:pPr>
        <w:pStyle w:val="Odstavekseznama"/>
      </w:pPr>
      <w:r>
        <w:t>Any additional objectives will be derived from the challenges provided under point 1.1.3.</w:t>
      </w:r>
    </w:p>
    <w:p w14:paraId="7A3E307E" w14:textId="77777777" w:rsidR="000B2CA9" w:rsidRDefault="000B2CA9" w:rsidP="00F04A9C">
      <w:pPr>
        <w:pStyle w:val="Odstavekseznama"/>
      </w:pPr>
    </w:p>
    <w:p w14:paraId="14F87FC2" w14:textId="46296BFB" w:rsidR="00E32BD2" w:rsidRDefault="00E32BD2" w:rsidP="00E32BD2">
      <w:pPr>
        <w:pStyle w:val="Naslov3"/>
        <w:numPr>
          <w:ilvl w:val="1"/>
          <w:numId w:val="1"/>
        </w:numPr>
      </w:pPr>
      <w:r>
        <w:t>Key stakeholders</w:t>
      </w:r>
    </w:p>
    <w:p w14:paraId="3E204C48" w14:textId="77777777" w:rsidR="007A4FC5" w:rsidRPr="007A4FC5" w:rsidRDefault="007A4FC5" w:rsidP="007A4FC5"/>
    <w:p w14:paraId="32185C9F" w14:textId="6818C570" w:rsidR="00E90746" w:rsidRDefault="00400B05" w:rsidP="002E11E1">
      <w:pPr>
        <w:pStyle w:val="Odstavekseznama"/>
        <w:numPr>
          <w:ilvl w:val="2"/>
          <w:numId w:val="30"/>
        </w:numPr>
      </w:pPr>
      <w:r>
        <w:t xml:space="preserve">Which </w:t>
      </w:r>
      <w:r w:rsidR="000B2CA9">
        <w:t xml:space="preserve">are the </w:t>
      </w:r>
      <w:r w:rsidR="000B2CA9" w:rsidRPr="00780D04">
        <w:rPr>
          <w:b/>
          <w:bCs/>
        </w:rPr>
        <w:t xml:space="preserve">most relevant </w:t>
      </w:r>
      <w:r w:rsidR="000B2CA9">
        <w:rPr>
          <w:b/>
          <w:bCs/>
        </w:rPr>
        <w:t xml:space="preserve">national/regional </w:t>
      </w:r>
      <w:r w:rsidR="000B2CA9">
        <w:t xml:space="preserve">(e.g. national/regional institutions, agencies, others) </w:t>
      </w:r>
      <w:r w:rsidR="000B2CA9" w:rsidRPr="00780D04">
        <w:rPr>
          <w:b/>
          <w:bCs/>
        </w:rPr>
        <w:t>and international</w:t>
      </w:r>
      <w:r w:rsidR="000B2CA9">
        <w:t xml:space="preserve"> </w:t>
      </w:r>
      <w:r w:rsidR="006D0053">
        <w:t xml:space="preserve">(e.g. </w:t>
      </w:r>
      <w:r w:rsidR="000B2CA9">
        <w:t xml:space="preserve">networks, associations, organisations, partnerships) </w:t>
      </w:r>
      <w:r w:rsidR="006D0053" w:rsidRPr="00E347DC">
        <w:rPr>
          <w:b/>
          <w:bCs/>
        </w:rPr>
        <w:t>stakeholders</w:t>
      </w:r>
      <w:r w:rsidR="006D0053">
        <w:t xml:space="preserve"> </w:t>
      </w:r>
      <w:r w:rsidR="000B2CA9">
        <w:t xml:space="preserve">to be involved in order to reach most efficiently the objectives of the </w:t>
      </w:r>
      <w:r w:rsidR="006D0053" w:rsidRPr="006D0053">
        <w:t xml:space="preserve">Topic 1. </w:t>
      </w:r>
      <w:r w:rsidR="000B2CA9">
        <w:t>(objectives provided in point 1.2.1 and additional ones derived from challenges added under point 1.1.3,  if relevant)?</w:t>
      </w:r>
      <w:r w:rsidR="006D0053">
        <w:t xml:space="preserve"> </w:t>
      </w:r>
      <w:r w:rsidR="00871E90">
        <w:t xml:space="preserve"> </w:t>
      </w:r>
      <w:r w:rsidR="007A4FC5">
        <w:t xml:space="preserve">Indicative </w:t>
      </w:r>
      <w:r w:rsidR="006D0053">
        <w:t xml:space="preserve">international </w:t>
      </w:r>
      <w:r w:rsidR="007A4FC5">
        <w:t>key stakeholders are already listed in the initial policy paper.</w:t>
      </w:r>
    </w:p>
    <w:p w14:paraId="3E8898A3" w14:textId="77777777" w:rsidR="007A4FC5" w:rsidRDefault="007A4FC5" w:rsidP="008216FA">
      <w:pPr>
        <w:pStyle w:val="Odstavekseznama"/>
        <w:spacing w:after="0"/>
      </w:pPr>
    </w:p>
    <w:tbl>
      <w:tblPr>
        <w:tblStyle w:val="Tabelamrea"/>
        <w:tblW w:w="0" w:type="auto"/>
        <w:tblInd w:w="720" w:type="dxa"/>
        <w:tblLook w:val="04A0" w:firstRow="1" w:lastRow="0" w:firstColumn="1" w:lastColumn="0" w:noHBand="0" w:noVBand="1"/>
      </w:tblPr>
      <w:tblGrid>
        <w:gridCol w:w="551"/>
        <w:gridCol w:w="7791"/>
      </w:tblGrid>
      <w:tr w:rsidR="00FC307D" w:rsidRPr="008216FA" w14:paraId="10004FC6" w14:textId="77777777" w:rsidTr="00FC307D">
        <w:tc>
          <w:tcPr>
            <w:tcW w:w="551" w:type="dxa"/>
          </w:tcPr>
          <w:p w14:paraId="341EFDC9" w14:textId="77777777" w:rsidR="00FC307D" w:rsidRPr="008216FA" w:rsidRDefault="00FC307D" w:rsidP="008216FA">
            <w:pPr>
              <w:rPr>
                <w:i/>
                <w:iCs/>
              </w:rPr>
            </w:pPr>
          </w:p>
        </w:tc>
        <w:tc>
          <w:tcPr>
            <w:tcW w:w="7791" w:type="dxa"/>
          </w:tcPr>
          <w:p w14:paraId="2FF2C870" w14:textId="542F42B5" w:rsidR="00FC307D" w:rsidRPr="008216FA" w:rsidRDefault="00FC307D" w:rsidP="008216FA">
            <w:pPr>
              <w:rPr>
                <w:i/>
                <w:iCs/>
                <w:sz w:val="20"/>
                <w:szCs w:val="20"/>
              </w:rPr>
            </w:pPr>
            <w:r w:rsidRPr="008216FA">
              <w:rPr>
                <w:i/>
                <w:iCs/>
                <w:sz w:val="20"/>
                <w:szCs w:val="20"/>
              </w:rPr>
              <w:t>European Climate, Infrastructure and Environment Executive Agency – CINEA</w:t>
            </w:r>
          </w:p>
        </w:tc>
      </w:tr>
      <w:tr w:rsidR="00FC307D" w:rsidRPr="008216FA" w14:paraId="7AC1FB7C" w14:textId="77777777" w:rsidTr="00FC307D">
        <w:tc>
          <w:tcPr>
            <w:tcW w:w="551" w:type="dxa"/>
          </w:tcPr>
          <w:p w14:paraId="67C94858" w14:textId="77777777" w:rsidR="00FC307D" w:rsidRPr="008216FA" w:rsidRDefault="00FC307D" w:rsidP="008216FA">
            <w:pPr>
              <w:rPr>
                <w:i/>
                <w:iCs/>
              </w:rPr>
            </w:pPr>
          </w:p>
        </w:tc>
        <w:tc>
          <w:tcPr>
            <w:tcW w:w="7791" w:type="dxa"/>
          </w:tcPr>
          <w:p w14:paraId="3680802C" w14:textId="23FACE4E" w:rsidR="00FC307D" w:rsidRPr="008216FA" w:rsidRDefault="00FC307D" w:rsidP="008216FA">
            <w:pPr>
              <w:rPr>
                <w:i/>
                <w:iCs/>
                <w:sz w:val="20"/>
                <w:szCs w:val="20"/>
              </w:rPr>
            </w:pPr>
            <w:r w:rsidRPr="008216FA">
              <w:rPr>
                <w:i/>
                <w:iCs/>
                <w:sz w:val="20"/>
                <w:szCs w:val="20"/>
              </w:rPr>
              <w:t>Agency for the Cooperation of Energy Regulators (ACER)</w:t>
            </w:r>
          </w:p>
        </w:tc>
      </w:tr>
      <w:tr w:rsidR="00FC307D" w:rsidRPr="008216FA" w14:paraId="1F4416D3" w14:textId="77777777" w:rsidTr="00FC307D">
        <w:tc>
          <w:tcPr>
            <w:tcW w:w="551" w:type="dxa"/>
          </w:tcPr>
          <w:p w14:paraId="260DBFFA" w14:textId="77777777" w:rsidR="00FC307D" w:rsidRPr="008216FA" w:rsidRDefault="00FC307D" w:rsidP="008216FA">
            <w:pPr>
              <w:rPr>
                <w:i/>
                <w:iCs/>
              </w:rPr>
            </w:pPr>
          </w:p>
        </w:tc>
        <w:tc>
          <w:tcPr>
            <w:tcW w:w="7791" w:type="dxa"/>
          </w:tcPr>
          <w:p w14:paraId="048C8E84" w14:textId="2FE95925" w:rsidR="00FC307D" w:rsidRPr="008216FA" w:rsidRDefault="00FC307D" w:rsidP="008216FA">
            <w:pPr>
              <w:rPr>
                <w:i/>
                <w:iCs/>
                <w:sz w:val="20"/>
                <w:szCs w:val="20"/>
              </w:rPr>
            </w:pPr>
            <w:r w:rsidRPr="008216FA">
              <w:rPr>
                <w:i/>
                <w:iCs/>
                <w:sz w:val="20"/>
                <w:szCs w:val="20"/>
              </w:rPr>
              <w:t xml:space="preserve">Energy Community (EnC) </w:t>
            </w:r>
          </w:p>
        </w:tc>
      </w:tr>
      <w:tr w:rsidR="00FC307D" w:rsidRPr="008216FA" w14:paraId="4E043A5E" w14:textId="77777777" w:rsidTr="00FC307D">
        <w:tc>
          <w:tcPr>
            <w:tcW w:w="551" w:type="dxa"/>
          </w:tcPr>
          <w:p w14:paraId="79C26718" w14:textId="77777777" w:rsidR="00FC307D" w:rsidRPr="008216FA" w:rsidRDefault="00FC307D" w:rsidP="008216FA">
            <w:pPr>
              <w:rPr>
                <w:i/>
                <w:iCs/>
              </w:rPr>
            </w:pPr>
          </w:p>
        </w:tc>
        <w:tc>
          <w:tcPr>
            <w:tcW w:w="7791" w:type="dxa"/>
          </w:tcPr>
          <w:p w14:paraId="122C7153" w14:textId="788AA3FF" w:rsidR="00FC307D" w:rsidRPr="008216FA" w:rsidRDefault="00FC307D" w:rsidP="008216FA">
            <w:pPr>
              <w:rPr>
                <w:i/>
                <w:iCs/>
                <w:sz w:val="20"/>
                <w:szCs w:val="20"/>
              </w:rPr>
            </w:pPr>
            <w:r w:rsidRPr="008216FA">
              <w:rPr>
                <w:i/>
                <w:iCs/>
                <w:sz w:val="20"/>
                <w:szCs w:val="20"/>
              </w:rPr>
              <w:t>Central and South Eastern Europe energy connectivity (CESEC) high-level working group</w:t>
            </w:r>
          </w:p>
        </w:tc>
      </w:tr>
      <w:tr w:rsidR="00FC307D" w:rsidRPr="008216FA" w14:paraId="6FB3B11A" w14:textId="77777777" w:rsidTr="00FC307D">
        <w:tc>
          <w:tcPr>
            <w:tcW w:w="551" w:type="dxa"/>
          </w:tcPr>
          <w:p w14:paraId="5C3F2B78" w14:textId="77777777" w:rsidR="00FC307D" w:rsidRPr="008216FA" w:rsidRDefault="00FC307D" w:rsidP="008216FA">
            <w:pPr>
              <w:rPr>
                <w:i/>
                <w:iCs/>
              </w:rPr>
            </w:pPr>
          </w:p>
        </w:tc>
        <w:tc>
          <w:tcPr>
            <w:tcW w:w="7791" w:type="dxa"/>
          </w:tcPr>
          <w:p w14:paraId="1BE65E13" w14:textId="31F9EE7E" w:rsidR="00FC307D" w:rsidRPr="008216FA" w:rsidRDefault="00FC307D" w:rsidP="008216FA">
            <w:pPr>
              <w:rPr>
                <w:i/>
                <w:iCs/>
                <w:sz w:val="20"/>
                <w:szCs w:val="20"/>
              </w:rPr>
            </w:pPr>
            <w:r w:rsidRPr="008216FA">
              <w:rPr>
                <w:i/>
                <w:iCs/>
                <w:sz w:val="20"/>
                <w:szCs w:val="20"/>
              </w:rPr>
              <w:t>Western Balkans Investment Framework (WBIF)</w:t>
            </w:r>
          </w:p>
        </w:tc>
      </w:tr>
      <w:tr w:rsidR="00FC307D" w:rsidRPr="008216FA" w14:paraId="5D4F2FF7" w14:textId="77777777" w:rsidTr="00FC307D">
        <w:tc>
          <w:tcPr>
            <w:tcW w:w="551" w:type="dxa"/>
          </w:tcPr>
          <w:p w14:paraId="2DA87F1C" w14:textId="77777777" w:rsidR="00FC307D" w:rsidRPr="008216FA" w:rsidRDefault="00FC307D" w:rsidP="008216FA">
            <w:pPr>
              <w:rPr>
                <w:i/>
                <w:iCs/>
              </w:rPr>
            </w:pPr>
          </w:p>
        </w:tc>
        <w:tc>
          <w:tcPr>
            <w:tcW w:w="7791" w:type="dxa"/>
          </w:tcPr>
          <w:p w14:paraId="5B9E271B" w14:textId="7E73704F" w:rsidR="00FC307D" w:rsidRPr="008216FA" w:rsidRDefault="00FC307D" w:rsidP="008216FA">
            <w:pPr>
              <w:rPr>
                <w:i/>
                <w:iCs/>
                <w:sz w:val="20"/>
                <w:szCs w:val="20"/>
              </w:rPr>
            </w:pPr>
            <w:r w:rsidRPr="008216FA">
              <w:rPr>
                <w:i/>
                <w:iCs/>
                <w:sz w:val="20"/>
                <w:szCs w:val="20"/>
              </w:rPr>
              <w:t xml:space="preserve">Connecting Europe Facility (CEF) </w:t>
            </w:r>
          </w:p>
        </w:tc>
      </w:tr>
      <w:tr w:rsidR="00FC307D" w:rsidRPr="008216FA" w14:paraId="31061382" w14:textId="77777777" w:rsidTr="00FC307D">
        <w:tc>
          <w:tcPr>
            <w:tcW w:w="551" w:type="dxa"/>
          </w:tcPr>
          <w:p w14:paraId="777FDE7C" w14:textId="77777777" w:rsidR="00FC307D" w:rsidRPr="008216FA" w:rsidRDefault="00FC307D" w:rsidP="008216FA">
            <w:pPr>
              <w:rPr>
                <w:i/>
                <w:iCs/>
              </w:rPr>
            </w:pPr>
          </w:p>
        </w:tc>
        <w:tc>
          <w:tcPr>
            <w:tcW w:w="7791" w:type="dxa"/>
          </w:tcPr>
          <w:p w14:paraId="41F00BEB" w14:textId="34212B1E" w:rsidR="00FC307D" w:rsidRPr="008216FA" w:rsidRDefault="00FC307D" w:rsidP="008216FA">
            <w:pPr>
              <w:rPr>
                <w:i/>
                <w:iCs/>
                <w:sz w:val="20"/>
                <w:szCs w:val="20"/>
              </w:rPr>
            </w:pPr>
            <w:r w:rsidRPr="008216FA">
              <w:rPr>
                <w:i/>
                <w:iCs/>
                <w:sz w:val="20"/>
                <w:szCs w:val="20"/>
              </w:rPr>
              <w:t xml:space="preserve">European Network of Transmission System Operators for Electricity (ENTSO-E) </w:t>
            </w:r>
          </w:p>
        </w:tc>
      </w:tr>
      <w:tr w:rsidR="00FC307D" w:rsidRPr="008216FA" w14:paraId="67F35876" w14:textId="77777777" w:rsidTr="00FC307D">
        <w:tc>
          <w:tcPr>
            <w:tcW w:w="551" w:type="dxa"/>
          </w:tcPr>
          <w:p w14:paraId="7F863430" w14:textId="77777777" w:rsidR="00FC307D" w:rsidRPr="008216FA" w:rsidRDefault="00FC307D" w:rsidP="008216FA">
            <w:pPr>
              <w:rPr>
                <w:i/>
                <w:iCs/>
              </w:rPr>
            </w:pPr>
          </w:p>
        </w:tc>
        <w:tc>
          <w:tcPr>
            <w:tcW w:w="7791" w:type="dxa"/>
          </w:tcPr>
          <w:p w14:paraId="51273399" w14:textId="7F872AE9" w:rsidR="00FC307D" w:rsidRPr="008216FA" w:rsidRDefault="00FC307D" w:rsidP="008216FA">
            <w:pPr>
              <w:rPr>
                <w:i/>
                <w:iCs/>
                <w:sz w:val="20"/>
                <w:szCs w:val="20"/>
              </w:rPr>
            </w:pPr>
            <w:r w:rsidRPr="008216FA">
              <w:rPr>
                <w:i/>
                <w:iCs/>
                <w:sz w:val="20"/>
                <w:szCs w:val="20"/>
              </w:rPr>
              <w:t xml:space="preserve">European Network of Transmission System Operators for Gas (ENTSO-G) </w:t>
            </w:r>
          </w:p>
        </w:tc>
      </w:tr>
      <w:tr w:rsidR="00FC307D" w:rsidRPr="008216FA" w14:paraId="60281EF4" w14:textId="77777777" w:rsidTr="00FC307D">
        <w:tc>
          <w:tcPr>
            <w:tcW w:w="551" w:type="dxa"/>
          </w:tcPr>
          <w:p w14:paraId="6F28617B" w14:textId="77777777" w:rsidR="00FC307D" w:rsidRPr="008216FA" w:rsidRDefault="00FC307D" w:rsidP="008216FA">
            <w:pPr>
              <w:rPr>
                <w:i/>
                <w:iCs/>
              </w:rPr>
            </w:pPr>
          </w:p>
        </w:tc>
        <w:tc>
          <w:tcPr>
            <w:tcW w:w="7791" w:type="dxa"/>
          </w:tcPr>
          <w:p w14:paraId="6C324904" w14:textId="5A8D05E7" w:rsidR="00FC307D" w:rsidRPr="008216FA" w:rsidRDefault="00FC307D" w:rsidP="008216FA">
            <w:pPr>
              <w:rPr>
                <w:i/>
                <w:iCs/>
                <w:sz w:val="20"/>
                <w:szCs w:val="20"/>
              </w:rPr>
            </w:pPr>
            <w:r w:rsidRPr="008216FA">
              <w:rPr>
                <w:i/>
                <w:iCs/>
                <w:sz w:val="20"/>
                <w:szCs w:val="20"/>
              </w:rPr>
              <w:t>Energy Community Distribution System Operators in Electricity (ECDSO-E)</w:t>
            </w:r>
          </w:p>
        </w:tc>
      </w:tr>
      <w:tr w:rsidR="00FC307D" w:rsidRPr="008216FA" w14:paraId="546B2E36" w14:textId="77777777" w:rsidTr="00FC307D">
        <w:tc>
          <w:tcPr>
            <w:tcW w:w="551" w:type="dxa"/>
          </w:tcPr>
          <w:p w14:paraId="13AF671E" w14:textId="77777777" w:rsidR="00FC307D" w:rsidRPr="008216FA" w:rsidRDefault="00FC307D" w:rsidP="008216FA">
            <w:pPr>
              <w:rPr>
                <w:i/>
                <w:iCs/>
                <w:sz w:val="20"/>
                <w:szCs w:val="20"/>
              </w:rPr>
            </w:pPr>
          </w:p>
        </w:tc>
        <w:tc>
          <w:tcPr>
            <w:tcW w:w="7791" w:type="dxa"/>
          </w:tcPr>
          <w:p w14:paraId="7E386442" w14:textId="7B30A178" w:rsidR="00FC307D" w:rsidRPr="008216FA" w:rsidRDefault="00FC307D" w:rsidP="008216FA">
            <w:pPr>
              <w:rPr>
                <w:i/>
                <w:iCs/>
                <w:sz w:val="20"/>
                <w:szCs w:val="20"/>
              </w:rPr>
            </w:pPr>
            <w:r w:rsidRPr="008216FA">
              <w:rPr>
                <w:i/>
                <w:iCs/>
                <w:sz w:val="20"/>
                <w:szCs w:val="20"/>
              </w:rPr>
              <w:t>Technical Assistance to Connectivity in the Western Balkans (CONNECTA)</w:t>
            </w:r>
          </w:p>
        </w:tc>
      </w:tr>
      <w:tr w:rsidR="00FC307D" w:rsidRPr="008216FA" w14:paraId="736DDE58" w14:textId="77777777" w:rsidTr="00FC307D">
        <w:tc>
          <w:tcPr>
            <w:tcW w:w="551" w:type="dxa"/>
          </w:tcPr>
          <w:p w14:paraId="4A1642B8" w14:textId="77777777" w:rsidR="00FC307D" w:rsidRPr="008216FA" w:rsidRDefault="00FC307D" w:rsidP="008216FA">
            <w:pPr>
              <w:rPr>
                <w:i/>
                <w:iCs/>
                <w:sz w:val="20"/>
                <w:szCs w:val="20"/>
              </w:rPr>
            </w:pPr>
          </w:p>
        </w:tc>
        <w:tc>
          <w:tcPr>
            <w:tcW w:w="7791" w:type="dxa"/>
          </w:tcPr>
          <w:p w14:paraId="44FB3004" w14:textId="4B139A60" w:rsidR="00FC307D" w:rsidRPr="008216FA" w:rsidRDefault="00FC307D" w:rsidP="008216FA">
            <w:pPr>
              <w:rPr>
                <w:i/>
                <w:iCs/>
                <w:sz w:val="20"/>
                <w:szCs w:val="20"/>
              </w:rPr>
            </w:pPr>
            <w:r w:rsidRPr="008216FA">
              <w:rPr>
                <w:i/>
                <w:iCs/>
                <w:sz w:val="20"/>
                <w:szCs w:val="20"/>
              </w:rPr>
              <w:t xml:space="preserve">Adriatic Ionian Euroregion </w:t>
            </w:r>
          </w:p>
        </w:tc>
      </w:tr>
      <w:tr w:rsidR="00FC307D" w:rsidRPr="008216FA" w14:paraId="4A9F35B0" w14:textId="77777777" w:rsidTr="00FC307D">
        <w:tc>
          <w:tcPr>
            <w:tcW w:w="551" w:type="dxa"/>
          </w:tcPr>
          <w:p w14:paraId="52B5C65D" w14:textId="77777777" w:rsidR="00FC307D" w:rsidRPr="008216FA" w:rsidRDefault="00FC307D" w:rsidP="008216FA">
            <w:pPr>
              <w:rPr>
                <w:i/>
                <w:iCs/>
                <w:sz w:val="20"/>
                <w:szCs w:val="20"/>
              </w:rPr>
            </w:pPr>
          </w:p>
        </w:tc>
        <w:tc>
          <w:tcPr>
            <w:tcW w:w="7791" w:type="dxa"/>
          </w:tcPr>
          <w:p w14:paraId="74E68592" w14:textId="530A719F" w:rsidR="00FC307D" w:rsidRPr="008216FA" w:rsidRDefault="00FC307D" w:rsidP="008216FA">
            <w:pPr>
              <w:rPr>
                <w:i/>
                <w:iCs/>
                <w:sz w:val="20"/>
                <w:szCs w:val="20"/>
              </w:rPr>
            </w:pPr>
            <w:r w:rsidRPr="008216FA">
              <w:rPr>
                <w:i/>
                <w:iCs/>
                <w:sz w:val="20"/>
                <w:szCs w:val="20"/>
              </w:rPr>
              <w:t xml:space="preserve">Adriatic and Ionian Interregional Group at the Committee of the Regions </w:t>
            </w:r>
          </w:p>
        </w:tc>
      </w:tr>
      <w:tr w:rsidR="00FC307D" w:rsidRPr="008216FA" w14:paraId="77D6AC64" w14:textId="77777777" w:rsidTr="00FC307D">
        <w:tc>
          <w:tcPr>
            <w:tcW w:w="551" w:type="dxa"/>
          </w:tcPr>
          <w:p w14:paraId="4D5CB29F" w14:textId="77777777" w:rsidR="00FC307D" w:rsidRPr="008216FA" w:rsidRDefault="00FC307D" w:rsidP="008216FA">
            <w:pPr>
              <w:rPr>
                <w:i/>
                <w:iCs/>
                <w:sz w:val="20"/>
                <w:szCs w:val="20"/>
              </w:rPr>
            </w:pPr>
          </w:p>
        </w:tc>
        <w:tc>
          <w:tcPr>
            <w:tcW w:w="7791" w:type="dxa"/>
          </w:tcPr>
          <w:p w14:paraId="58DB8052" w14:textId="2287C351" w:rsidR="00FC307D" w:rsidRPr="008216FA" w:rsidRDefault="00FC307D" w:rsidP="008216FA">
            <w:pPr>
              <w:rPr>
                <w:i/>
                <w:iCs/>
                <w:sz w:val="20"/>
                <w:szCs w:val="20"/>
              </w:rPr>
            </w:pPr>
            <w:r w:rsidRPr="008216FA">
              <w:rPr>
                <w:i/>
                <w:iCs/>
                <w:sz w:val="20"/>
                <w:szCs w:val="20"/>
              </w:rPr>
              <w:t xml:space="preserve">Adriatic &amp; Ionian Initiative (AII) </w:t>
            </w:r>
          </w:p>
        </w:tc>
      </w:tr>
      <w:tr w:rsidR="00FC307D" w:rsidRPr="008216FA" w14:paraId="04764892" w14:textId="77777777" w:rsidTr="00FC307D">
        <w:tc>
          <w:tcPr>
            <w:tcW w:w="551" w:type="dxa"/>
          </w:tcPr>
          <w:p w14:paraId="65A9B15B" w14:textId="77777777" w:rsidR="00FC307D" w:rsidRPr="008216FA" w:rsidRDefault="00FC307D" w:rsidP="008216FA">
            <w:pPr>
              <w:rPr>
                <w:i/>
                <w:iCs/>
                <w:sz w:val="20"/>
                <w:szCs w:val="20"/>
              </w:rPr>
            </w:pPr>
          </w:p>
        </w:tc>
        <w:tc>
          <w:tcPr>
            <w:tcW w:w="7791" w:type="dxa"/>
          </w:tcPr>
          <w:p w14:paraId="01A07A08" w14:textId="783D6070" w:rsidR="00FC307D" w:rsidRPr="008216FA" w:rsidRDefault="00FC307D" w:rsidP="008216FA">
            <w:pPr>
              <w:rPr>
                <w:i/>
                <w:iCs/>
                <w:sz w:val="20"/>
                <w:szCs w:val="20"/>
              </w:rPr>
            </w:pPr>
            <w:r w:rsidRPr="008216FA">
              <w:rPr>
                <w:i/>
                <w:iCs/>
                <w:sz w:val="20"/>
                <w:szCs w:val="20"/>
              </w:rPr>
              <w:t>Regional Cooperation Council (RCC)</w:t>
            </w:r>
          </w:p>
        </w:tc>
      </w:tr>
      <w:tr w:rsidR="00FC307D" w:rsidRPr="008216FA" w14:paraId="35B814FA" w14:textId="77777777" w:rsidTr="00FC307D">
        <w:tc>
          <w:tcPr>
            <w:tcW w:w="551" w:type="dxa"/>
          </w:tcPr>
          <w:p w14:paraId="0CEB398A" w14:textId="77777777" w:rsidR="00FC307D" w:rsidRPr="008216FA" w:rsidRDefault="00FC307D" w:rsidP="008216FA">
            <w:pPr>
              <w:rPr>
                <w:i/>
                <w:iCs/>
                <w:sz w:val="20"/>
                <w:szCs w:val="20"/>
              </w:rPr>
            </w:pPr>
          </w:p>
        </w:tc>
        <w:tc>
          <w:tcPr>
            <w:tcW w:w="7791" w:type="dxa"/>
          </w:tcPr>
          <w:p w14:paraId="58F7CE74" w14:textId="3A05D5E3" w:rsidR="00FC307D" w:rsidRPr="008216FA" w:rsidRDefault="00FC307D" w:rsidP="008216FA">
            <w:pPr>
              <w:rPr>
                <w:i/>
                <w:iCs/>
                <w:sz w:val="20"/>
                <w:szCs w:val="20"/>
              </w:rPr>
            </w:pPr>
            <w:r w:rsidRPr="008216FA">
              <w:rPr>
                <w:i/>
                <w:iCs/>
                <w:sz w:val="20"/>
                <w:szCs w:val="20"/>
              </w:rPr>
              <w:t>UNECE</w:t>
            </w:r>
          </w:p>
        </w:tc>
      </w:tr>
      <w:tr w:rsidR="00FC307D" w:rsidRPr="008216FA" w14:paraId="43520846" w14:textId="77777777" w:rsidTr="00FC307D">
        <w:tc>
          <w:tcPr>
            <w:tcW w:w="551" w:type="dxa"/>
          </w:tcPr>
          <w:p w14:paraId="3E49FD89" w14:textId="77777777" w:rsidR="00FC307D" w:rsidRPr="008216FA" w:rsidRDefault="00FC307D" w:rsidP="008216FA">
            <w:pPr>
              <w:rPr>
                <w:i/>
                <w:iCs/>
                <w:sz w:val="20"/>
                <w:szCs w:val="20"/>
              </w:rPr>
            </w:pPr>
          </w:p>
        </w:tc>
        <w:tc>
          <w:tcPr>
            <w:tcW w:w="7791" w:type="dxa"/>
          </w:tcPr>
          <w:p w14:paraId="5064BA75" w14:textId="370B0EF7" w:rsidR="00FC307D" w:rsidRPr="008216FA" w:rsidRDefault="00FC307D" w:rsidP="008216FA">
            <w:pPr>
              <w:rPr>
                <w:i/>
                <w:iCs/>
                <w:sz w:val="20"/>
                <w:szCs w:val="20"/>
              </w:rPr>
            </w:pPr>
            <w:r w:rsidRPr="008216FA">
              <w:rPr>
                <w:i/>
                <w:iCs/>
                <w:sz w:val="20"/>
                <w:szCs w:val="20"/>
              </w:rPr>
              <w:t>International Energy Agency (IEA)</w:t>
            </w:r>
          </w:p>
        </w:tc>
      </w:tr>
      <w:tr w:rsidR="00FC307D" w:rsidRPr="008216FA" w14:paraId="1F7F1742" w14:textId="77777777" w:rsidTr="00FC307D">
        <w:tc>
          <w:tcPr>
            <w:tcW w:w="551" w:type="dxa"/>
          </w:tcPr>
          <w:p w14:paraId="353A97F7" w14:textId="77777777" w:rsidR="00FC307D" w:rsidRPr="008216FA" w:rsidRDefault="00FC307D" w:rsidP="008216FA">
            <w:pPr>
              <w:rPr>
                <w:i/>
                <w:iCs/>
                <w:sz w:val="20"/>
                <w:szCs w:val="20"/>
              </w:rPr>
            </w:pPr>
          </w:p>
        </w:tc>
        <w:tc>
          <w:tcPr>
            <w:tcW w:w="7791" w:type="dxa"/>
          </w:tcPr>
          <w:p w14:paraId="4D6464E2" w14:textId="37904883" w:rsidR="00FC307D" w:rsidRPr="008216FA" w:rsidRDefault="00FC307D" w:rsidP="008216FA">
            <w:pPr>
              <w:rPr>
                <w:i/>
                <w:iCs/>
                <w:sz w:val="20"/>
                <w:szCs w:val="20"/>
              </w:rPr>
            </w:pPr>
            <w:r w:rsidRPr="008216FA">
              <w:rPr>
                <w:i/>
                <w:iCs/>
                <w:sz w:val="20"/>
                <w:szCs w:val="20"/>
              </w:rPr>
              <w:t>International Renewable Energy Agency (IRENA)</w:t>
            </w:r>
          </w:p>
        </w:tc>
      </w:tr>
    </w:tbl>
    <w:p w14:paraId="770125A9" w14:textId="1A37C5C0" w:rsidR="00F04A9C" w:rsidRDefault="00F04A9C" w:rsidP="00F04A9C">
      <w:pPr>
        <w:pStyle w:val="Odstavekseznama"/>
        <w:rPr>
          <w:sz w:val="20"/>
          <w:szCs w:val="20"/>
        </w:rPr>
      </w:pPr>
    </w:p>
    <w:p w14:paraId="68AA1FF4" w14:textId="77777777" w:rsidR="00DD5169" w:rsidRPr="00FC307D" w:rsidRDefault="00DD5169" w:rsidP="00F04A9C">
      <w:pPr>
        <w:pStyle w:val="Odstavekseznama"/>
        <w:rPr>
          <w:sz w:val="20"/>
          <w:szCs w:val="20"/>
        </w:rPr>
      </w:pPr>
    </w:p>
    <w:p w14:paraId="6681C2AE" w14:textId="6BCAEE69" w:rsidR="00566E0E" w:rsidRDefault="00566E0E" w:rsidP="00566E0E">
      <w:pPr>
        <w:pStyle w:val="Naslov3"/>
        <w:numPr>
          <w:ilvl w:val="1"/>
          <w:numId w:val="1"/>
        </w:numPr>
      </w:pPr>
      <w:r>
        <w:lastRenderedPageBreak/>
        <w:t>Relevant policies</w:t>
      </w:r>
    </w:p>
    <w:p w14:paraId="38C81CCD" w14:textId="77777777" w:rsidR="003470D7" w:rsidRDefault="003470D7" w:rsidP="003470D7"/>
    <w:p w14:paraId="1A5102EA" w14:textId="1CDF84C9" w:rsidR="003470D7" w:rsidRDefault="003470D7" w:rsidP="002E11E1">
      <w:pPr>
        <w:pStyle w:val="Odstavekseznama"/>
        <w:numPr>
          <w:ilvl w:val="2"/>
          <w:numId w:val="31"/>
        </w:numPr>
        <w:rPr>
          <w:i/>
          <w:iCs/>
        </w:rPr>
      </w:pPr>
      <w:r>
        <w:t xml:space="preserve">The following </w:t>
      </w:r>
      <w:r w:rsidRPr="00780D04">
        <w:rPr>
          <w:b/>
          <w:bCs/>
        </w:rPr>
        <w:t>policies</w:t>
      </w:r>
      <w:r w:rsidR="00AE3BE2">
        <w:rPr>
          <w:b/>
          <w:bCs/>
        </w:rPr>
        <w:t>, regulations, directives, initiatives</w:t>
      </w:r>
      <w:r w:rsidRPr="00780D04">
        <w:rPr>
          <w:b/>
          <w:bCs/>
        </w:rPr>
        <w:t xml:space="preserve"> </w:t>
      </w:r>
      <w:r>
        <w:t xml:space="preserve">were identified </w:t>
      </w:r>
      <w:r w:rsidR="00BE4898">
        <w:t xml:space="preserve">as </w:t>
      </w:r>
      <w:r>
        <w:t xml:space="preserve">relevant for the </w:t>
      </w:r>
      <w:bookmarkStart w:id="1" w:name="_Hlk117253104"/>
      <w:r w:rsidR="007A4FC5" w:rsidRPr="007A4FC5">
        <w:rPr>
          <w:i/>
          <w:iCs/>
        </w:rPr>
        <w:t>Topic 1:</w:t>
      </w:r>
      <w:r w:rsidR="007A4FC5">
        <w:t xml:space="preserve"> </w:t>
      </w:r>
      <w:r w:rsidR="008216FA" w:rsidRPr="008216FA">
        <w:rPr>
          <w:i/>
          <w:iCs/>
        </w:rPr>
        <w:t>Energy networks</w:t>
      </w:r>
      <w:r>
        <w:t xml:space="preserve">. </w:t>
      </w:r>
      <w:bookmarkEnd w:id="1"/>
      <w:r w:rsidR="00EB6BE7">
        <w:t xml:space="preserve">Please also think about the funding opportunities related to these policies. </w:t>
      </w:r>
      <w:r>
        <w:t>W</w:t>
      </w:r>
      <w:r w:rsidRPr="00566E0E">
        <w:t>hich are</w:t>
      </w:r>
      <w:r>
        <w:t xml:space="preserve"> </w:t>
      </w:r>
      <w:r w:rsidRPr="00566E0E">
        <w:t xml:space="preserve">the most relevant? </w:t>
      </w:r>
    </w:p>
    <w:p w14:paraId="14E9F2A3" w14:textId="292E3769" w:rsidR="007A4FC5" w:rsidRDefault="007A4FC5" w:rsidP="007A4FC5">
      <w:pPr>
        <w:pStyle w:val="Odstavekseznama"/>
        <w:rPr>
          <w:i/>
          <w:iCs/>
        </w:rPr>
      </w:pPr>
      <w:r w:rsidRPr="007A4FC5">
        <w:rPr>
          <w:i/>
          <w:iCs/>
          <w:highlight w:val="yellow"/>
        </w:rPr>
        <w:t>(Please tick the boxes before the selected policies)</w:t>
      </w:r>
    </w:p>
    <w:p w14:paraId="6D1081D8" w14:textId="77777777" w:rsidR="007A4FC5" w:rsidRPr="00017CBB" w:rsidRDefault="007A4FC5" w:rsidP="007A4FC5">
      <w:pPr>
        <w:pStyle w:val="Odstavekseznama"/>
        <w:rPr>
          <w:i/>
          <w:iCs/>
        </w:rPr>
      </w:pPr>
    </w:p>
    <w:tbl>
      <w:tblPr>
        <w:tblStyle w:val="Tabelamrea"/>
        <w:tblW w:w="0" w:type="auto"/>
        <w:tblInd w:w="720" w:type="dxa"/>
        <w:tblLook w:val="04A0" w:firstRow="1" w:lastRow="0" w:firstColumn="1" w:lastColumn="0" w:noHBand="0" w:noVBand="1"/>
      </w:tblPr>
      <w:tblGrid>
        <w:gridCol w:w="551"/>
        <w:gridCol w:w="7791"/>
      </w:tblGrid>
      <w:tr w:rsidR="007A4FC5" w:rsidRPr="006D0053" w14:paraId="31DC68E4" w14:textId="77777777" w:rsidTr="00AE713A">
        <w:tc>
          <w:tcPr>
            <w:tcW w:w="551" w:type="dxa"/>
          </w:tcPr>
          <w:p w14:paraId="4A0D96F6" w14:textId="77777777" w:rsidR="007A4FC5" w:rsidRPr="00780D04" w:rsidRDefault="007A4FC5" w:rsidP="008216FA">
            <w:pPr>
              <w:pStyle w:val="Odstavekseznama"/>
              <w:ind w:left="0"/>
              <w:rPr>
                <w:rFonts w:cstheme="minorHAnsi"/>
                <w:i/>
                <w:iCs/>
                <w:sz w:val="20"/>
                <w:szCs w:val="20"/>
              </w:rPr>
            </w:pPr>
          </w:p>
        </w:tc>
        <w:tc>
          <w:tcPr>
            <w:tcW w:w="7791" w:type="dxa"/>
          </w:tcPr>
          <w:p w14:paraId="7207D752" w14:textId="195B4CDB" w:rsidR="007A4FC5" w:rsidRPr="008216FA" w:rsidRDefault="00390A4E" w:rsidP="008216FA">
            <w:pPr>
              <w:rPr>
                <w:i/>
                <w:iCs/>
                <w:sz w:val="20"/>
                <w:szCs w:val="20"/>
              </w:rPr>
            </w:pPr>
            <w:r w:rsidRPr="008216FA">
              <w:rPr>
                <w:i/>
                <w:iCs/>
                <w:sz w:val="20"/>
                <w:szCs w:val="20"/>
              </w:rPr>
              <w:t>Energy Community Treaty</w:t>
            </w:r>
          </w:p>
        </w:tc>
      </w:tr>
      <w:tr w:rsidR="007A4FC5" w:rsidRPr="006D0053" w14:paraId="4CA2C332" w14:textId="77777777" w:rsidTr="003C3E48">
        <w:tc>
          <w:tcPr>
            <w:tcW w:w="551" w:type="dxa"/>
          </w:tcPr>
          <w:p w14:paraId="6FB0AF4B" w14:textId="77777777" w:rsidR="007A4FC5" w:rsidRPr="00780D04" w:rsidRDefault="007A4FC5" w:rsidP="008216FA">
            <w:pPr>
              <w:pStyle w:val="Odstavekseznama"/>
              <w:ind w:left="0"/>
              <w:rPr>
                <w:rFonts w:cstheme="minorHAnsi"/>
                <w:i/>
                <w:iCs/>
                <w:sz w:val="20"/>
                <w:szCs w:val="20"/>
              </w:rPr>
            </w:pPr>
          </w:p>
        </w:tc>
        <w:tc>
          <w:tcPr>
            <w:tcW w:w="7791" w:type="dxa"/>
          </w:tcPr>
          <w:p w14:paraId="3D825925" w14:textId="412B7BEA" w:rsidR="007A4FC5" w:rsidRPr="008216FA" w:rsidRDefault="00341747" w:rsidP="008216FA">
            <w:pPr>
              <w:rPr>
                <w:i/>
                <w:iCs/>
                <w:sz w:val="20"/>
                <w:szCs w:val="20"/>
              </w:rPr>
            </w:pPr>
            <w:r w:rsidRPr="008216FA">
              <w:rPr>
                <w:i/>
                <w:iCs/>
                <w:sz w:val="20"/>
                <w:szCs w:val="20"/>
              </w:rPr>
              <w:t>The European Green Deal (COM 2019/640 final)</w:t>
            </w:r>
            <w:r w:rsidRPr="008216FA" w:rsidDel="00341747">
              <w:rPr>
                <w:i/>
                <w:iCs/>
                <w:sz w:val="20"/>
                <w:szCs w:val="20"/>
              </w:rPr>
              <w:t xml:space="preserve"> </w:t>
            </w:r>
          </w:p>
        </w:tc>
      </w:tr>
      <w:tr w:rsidR="007A4FC5" w:rsidRPr="006D0053" w14:paraId="6BE57863" w14:textId="77777777" w:rsidTr="00A77FAF">
        <w:tc>
          <w:tcPr>
            <w:tcW w:w="551" w:type="dxa"/>
          </w:tcPr>
          <w:p w14:paraId="1B273E71" w14:textId="77777777" w:rsidR="007A4FC5" w:rsidRPr="00780D04" w:rsidRDefault="007A4FC5" w:rsidP="008216FA">
            <w:pPr>
              <w:pStyle w:val="Odstavekseznama"/>
              <w:ind w:left="0"/>
              <w:rPr>
                <w:rFonts w:cstheme="minorHAnsi"/>
                <w:i/>
                <w:iCs/>
                <w:sz w:val="20"/>
                <w:szCs w:val="20"/>
              </w:rPr>
            </w:pPr>
          </w:p>
        </w:tc>
        <w:tc>
          <w:tcPr>
            <w:tcW w:w="7791" w:type="dxa"/>
          </w:tcPr>
          <w:p w14:paraId="68B46722" w14:textId="3C3D99C6" w:rsidR="007A4FC5" w:rsidRPr="008216FA" w:rsidRDefault="00DD0593" w:rsidP="008216FA">
            <w:pPr>
              <w:rPr>
                <w:i/>
                <w:iCs/>
                <w:sz w:val="20"/>
                <w:szCs w:val="20"/>
              </w:rPr>
            </w:pPr>
            <w:r w:rsidRPr="008216FA">
              <w:rPr>
                <w:i/>
                <w:iCs/>
                <w:sz w:val="20"/>
                <w:szCs w:val="20"/>
              </w:rPr>
              <w:t>the Paris Agreement on climate change</w:t>
            </w:r>
          </w:p>
        </w:tc>
      </w:tr>
      <w:tr w:rsidR="007A4FC5" w:rsidRPr="006D0053" w14:paraId="2A0BE78A" w14:textId="77777777" w:rsidTr="00FE32C3">
        <w:tc>
          <w:tcPr>
            <w:tcW w:w="551" w:type="dxa"/>
          </w:tcPr>
          <w:p w14:paraId="5D486387" w14:textId="77777777" w:rsidR="007A4FC5" w:rsidRPr="00780D04" w:rsidRDefault="007A4FC5" w:rsidP="008216FA">
            <w:pPr>
              <w:pStyle w:val="Odstavekseznama"/>
              <w:ind w:left="0"/>
              <w:rPr>
                <w:rFonts w:cstheme="minorHAnsi"/>
                <w:i/>
                <w:iCs/>
                <w:sz w:val="20"/>
                <w:szCs w:val="20"/>
              </w:rPr>
            </w:pPr>
          </w:p>
        </w:tc>
        <w:tc>
          <w:tcPr>
            <w:tcW w:w="7791" w:type="dxa"/>
          </w:tcPr>
          <w:p w14:paraId="6B11EF08" w14:textId="3468235D" w:rsidR="007A4FC5" w:rsidRPr="008216FA" w:rsidRDefault="008D62B7" w:rsidP="008216FA">
            <w:pPr>
              <w:rPr>
                <w:i/>
                <w:iCs/>
                <w:sz w:val="20"/>
                <w:szCs w:val="20"/>
              </w:rPr>
            </w:pPr>
            <w:r w:rsidRPr="008216FA">
              <w:rPr>
                <w:i/>
                <w:iCs/>
                <w:sz w:val="20"/>
                <w:szCs w:val="20"/>
              </w:rPr>
              <w:t>Fit for 55 Package,  Clean energy for all Europeans package</w:t>
            </w:r>
          </w:p>
        </w:tc>
      </w:tr>
      <w:tr w:rsidR="007A4FC5" w:rsidRPr="006D0053" w14:paraId="2F0FA136" w14:textId="77777777" w:rsidTr="003E59A8">
        <w:tc>
          <w:tcPr>
            <w:tcW w:w="551" w:type="dxa"/>
          </w:tcPr>
          <w:p w14:paraId="25BE66AF" w14:textId="77777777" w:rsidR="007A4FC5" w:rsidRPr="00780D04" w:rsidRDefault="007A4FC5" w:rsidP="008216FA">
            <w:pPr>
              <w:pStyle w:val="Odstavekseznama"/>
              <w:ind w:left="0"/>
              <w:rPr>
                <w:rFonts w:cstheme="minorHAnsi"/>
                <w:i/>
                <w:iCs/>
                <w:sz w:val="20"/>
                <w:szCs w:val="20"/>
              </w:rPr>
            </w:pPr>
          </w:p>
        </w:tc>
        <w:tc>
          <w:tcPr>
            <w:tcW w:w="7791" w:type="dxa"/>
          </w:tcPr>
          <w:p w14:paraId="12E9D150" w14:textId="1084607E" w:rsidR="007A4FC5" w:rsidRPr="008216FA" w:rsidRDefault="00FC7176" w:rsidP="008216FA">
            <w:pPr>
              <w:rPr>
                <w:i/>
                <w:iCs/>
                <w:sz w:val="20"/>
                <w:szCs w:val="20"/>
              </w:rPr>
            </w:pPr>
            <w:r w:rsidRPr="008216FA">
              <w:rPr>
                <w:i/>
                <w:iCs/>
                <w:sz w:val="20"/>
                <w:szCs w:val="20"/>
              </w:rPr>
              <w:t>Regulation (EU) 2018/1999 on the Governance of the Energy Union and Climate Action</w:t>
            </w:r>
          </w:p>
        </w:tc>
      </w:tr>
      <w:tr w:rsidR="007A4FC5" w:rsidRPr="006D0053" w14:paraId="7F7FAB70" w14:textId="77777777" w:rsidTr="007F01AE">
        <w:tc>
          <w:tcPr>
            <w:tcW w:w="551" w:type="dxa"/>
          </w:tcPr>
          <w:p w14:paraId="05A86279" w14:textId="77777777" w:rsidR="007A4FC5" w:rsidRPr="00780D04" w:rsidRDefault="007A4FC5" w:rsidP="008216FA">
            <w:pPr>
              <w:pStyle w:val="Odstavekseznama"/>
              <w:ind w:left="0"/>
              <w:rPr>
                <w:rFonts w:cstheme="minorHAnsi"/>
                <w:i/>
                <w:iCs/>
                <w:sz w:val="20"/>
                <w:szCs w:val="20"/>
              </w:rPr>
            </w:pPr>
          </w:p>
        </w:tc>
        <w:tc>
          <w:tcPr>
            <w:tcW w:w="7791" w:type="dxa"/>
          </w:tcPr>
          <w:p w14:paraId="66E8793B" w14:textId="41767BFE" w:rsidR="007A4FC5" w:rsidRPr="008216FA" w:rsidRDefault="003706C7" w:rsidP="008216FA">
            <w:pPr>
              <w:rPr>
                <w:i/>
                <w:iCs/>
                <w:sz w:val="20"/>
                <w:szCs w:val="20"/>
              </w:rPr>
            </w:pPr>
            <w:r w:rsidRPr="008216FA">
              <w:rPr>
                <w:i/>
                <w:iCs/>
                <w:sz w:val="20"/>
                <w:szCs w:val="20"/>
              </w:rPr>
              <w:t>Regulation on the internal market for electricity (EU) 2019/943 and Internal Electricity Market Directive 2019/944</w:t>
            </w:r>
          </w:p>
        </w:tc>
      </w:tr>
      <w:tr w:rsidR="007A4FC5" w:rsidRPr="006D0053" w14:paraId="46D1AE33" w14:textId="77777777" w:rsidTr="00CA23F4">
        <w:tc>
          <w:tcPr>
            <w:tcW w:w="551" w:type="dxa"/>
          </w:tcPr>
          <w:p w14:paraId="5FE0F42D" w14:textId="77777777" w:rsidR="007A4FC5" w:rsidRPr="00780D04" w:rsidRDefault="007A4FC5" w:rsidP="008216FA">
            <w:pPr>
              <w:pStyle w:val="Odstavekseznama"/>
              <w:ind w:left="0"/>
              <w:rPr>
                <w:rFonts w:cstheme="minorHAnsi"/>
                <w:i/>
                <w:iCs/>
                <w:sz w:val="20"/>
                <w:szCs w:val="20"/>
              </w:rPr>
            </w:pPr>
          </w:p>
        </w:tc>
        <w:tc>
          <w:tcPr>
            <w:tcW w:w="7791" w:type="dxa"/>
          </w:tcPr>
          <w:p w14:paraId="44D8A8D4" w14:textId="797F9E48" w:rsidR="007A4FC5" w:rsidRPr="008216FA" w:rsidRDefault="00C45CA9" w:rsidP="008216FA">
            <w:pPr>
              <w:rPr>
                <w:i/>
                <w:iCs/>
                <w:sz w:val="20"/>
                <w:szCs w:val="20"/>
              </w:rPr>
            </w:pPr>
            <w:r w:rsidRPr="008216FA">
              <w:rPr>
                <w:i/>
                <w:iCs/>
                <w:sz w:val="20"/>
                <w:szCs w:val="20"/>
              </w:rPr>
              <w:t>An Economic and Investment Plan for the Western Balkans (COM(2020) 641 final) and Action Plan for the Implementation of the Green Agenda for the Western Balkans 2021-2030</w:t>
            </w:r>
          </w:p>
        </w:tc>
      </w:tr>
      <w:tr w:rsidR="006F60E0" w:rsidRPr="006D0053" w14:paraId="2614F686" w14:textId="77777777" w:rsidTr="00946614">
        <w:tc>
          <w:tcPr>
            <w:tcW w:w="551" w:type="dxa"/>
          </w:tcPr>
          <w:p w14:paraId="7514A48E" w14:textId="77777777" w:rsidR="006F60E0" w:rsidRPr="00780D04" w:rsidRDefault="006F60E0" w:rsidP="008216FA">
            <w:pPr>
              <w:pStyle w:val="Odstavekseznama"/>
              <w:ind w:left="0"/>
              <w:rPr>
                <w:rFonts w:cstheme="minorHAnsi"/>
                <w:i/>
                <w:iCs/>
                <w:sz w:val="20"/>
                <w:szCs w:val="20"/>
              </w:rPr>
            </w:pPr>
          </w:p>
        </w:tc>
        <w:tc>
          <w:tcPr>
            <w:tcW w:w="7791" w:type="dxa"/>
          </w:tcPr>
          <w:p w14:paraId="105849D4" w14:textId="2FE81649" w:rsidR="006F60E0" w:rsidRPr="008216FA" w:rsidRDefault="007807E3" w:rsidP="008216FA">
            <w:pPr>
              <w:rPr>
                <w:i/>
                <w:iCs/>
                <w:sz w:val="20"/>
                <w:szCs w:val="20"/>
              </w:rPr>
            </w:pPr>
            <w:r w:rsidRPr="008216FA">
              <w:rPr>
                <w:i/>
                <w:iCs/>
                <w:sz w:val="20"/>
                <w:szCs w:val="20"/>
              </w:rPr>
              <w:t>Regulation on guidelines for trans-European energy infrastructure (EU) 2022/869</w:t>
            </w:r>
          </w:p>
        </w:tc>
      </w:tr>
      <w:tr w:rsidR="00FC572C" w:rsidRPr="006D0053" w14:paraId="7FC6B73F" w14:textId="77777777" w:rsidTr="00780D04">
        <w:tc>
          <w:tcPr>
            <w:tcW w:w="551" w:type="dxa"/>
          </w:tcPr>
          <w:p w14:paraId="0D42487A" w14:textId="77777777" w:rsidR="00FC572C" w:rsidRPr="00780D04" w:rsidRDefault="00FC572C" w:rsidP="008216FA">
            <w:pPr>
              <w:pStyle w:val="Odstavekseznama"/>
              <w:ind w:left="0"/>
              <w:rPr>
                <w:rFonts w:cstheme="minorHAnsi"/>
                <w:i/>
                <w:iCs/>
                <w:sz w:val="20"/>
                <w:szCs w:val="20"/>
              </w:rPr>
            </w:pPr>
          </w:p>
        </w:tc>
        <w:tc>
          <w:tcPr>
            <w:tcW w:w="7791" w:type="dxa"/>
          </w:tcPr>
          <w:p w14:paraId="42E322F9" w14:textId="70256E0B" w:rsidR="00FC572C" w:rsidRPr="008216FA" w:rsidRDefault="00FC572C" w:rsidP="008216FA">
            <w:pPr>
              <w:rPr>
                <w:i/>
                <w:iCs/>
                <w:sz w:val="20"/>
                <w:szCs w:val="20"/>
              </w:rPr>
            </w:pPr>
            <w:r w:rsidRPr="008216FA">
              <w:rPr>
                <w:i/>
                <w:iCs/>
                <w:sz w:val="20"/>
                <w:szCs w:val="20"/>
              </w:rPr>
              <w:t xml:space="preserve">CESEC Electricity Action Plan </w:t>
            </w:r>
          </w:p>
        </w:tc>
      </w:tr>
      <w:tr w:rsidR="00FC572C" w:rsidRPr="006D0053" w14:paraId="0E756F5D" w14:textId="77777777" w:rsidTr="00780D04">
        <w:tc>
          <w:tcPr>
            <w:tcW w:w="551" w:type="dxa"/>
          </w:tcPr>
          <w:p w14:paraId="0570DC5C" w14:textId="77777777" w:rsidR="00FC572C" w:rsidRPr="00780D04" w:rsidRDefault="00FC572C" w:rsidP="008216FA">
            <w:pPr>
              <w:pStyle w:val="Odstavekseznama"/>
              <w:ind w:left="0"/>
              <w:rPr>
                <w:rFonts w:cstheme="minorHAnsi"/>
                <w:i/>
                <w:iCs/>
                <w:sz w:val="20"/>
                <w:szCs w:val="20"/>
              </w:rPr>
            </w:pPr>
          </w:p>
        </w:tc>
        <w:tc>
          <w:tcPr>
            <w:tcW w:w="7791" w:type="dxa"/>
          </w:tcPr>
          <w:p w14:paraId="55C25B42" w14:textId="257FF233" w:rsidR="00FC572C" w:rsidRPr="008216FA" w:rsidRDefault="00FC572C" w:rsidP="008216FA">
            <w:pPr>
              <w:rPr>
                <w:i/>
                <w:iCs/>
                <w:sz w:val="20"/>
                <w:szCs w:val="20"/>
              </w:rPr>
            </w:pPr>
            <w:r w:rsidRPr="008216FA">
              <w:rPr>
                <w:i/>
                <w:iCs/>
                <w:sz w:val="20"/>
                <w:szCs w:val="20"/>
              </w:rPr>
              <w:t>CESEC Gas Action Plan</w:t>
            </w:r>
          </w:p>
        </w:tc>
      </w:tr>
      <w:tr w:rsidR="00FC572C" w:rsidRPr="006D0053" w14:paraId="1EABC16D" w14:textId="77777777" w:rsidTr="00780D04">
        <w:tc>
          <w:tcPr>
            <w:tcW w:w="551" w:type="dxa"/>
          </w:tcPr>
          <w:p w14:paraId="3DBBB9C1" w14:textId="77777777" w:rsidR="00FC572C" w:rsidRPr="00780D04" w:rsidRDefault="00FC572C" w:rsidP="008216FA">
            <w:pPr>
              <w:pStyle w:val="Odstavekseznama"/>
              <w:ind w:left="0"/>
              <w:rPr>
                <w:rFonts w:cstheme="minorHAnsi"/>
                <w:i/>
                <w:iCs/>
                <w:sz w:val="20"/>
                <w:szCs w:val="20"/>
              </w:rPr>
            </w:pPr>
          </w:p>
        </w:tc>
        <w:tc>
          <w:tcPr>
            <w:tcW w:w="7791" w:type="dxa"/>
          </w:tcPr>
          <w:p w14:paraId="65D1FE66" w14:textId="792D9BA0" w:rsidR="00FC572C" w:rsidRPr="008216FA" w:rsidRDefault="00FC572C" w:rsidP="008216FA">
            <w:pPr>
              <w:rPr>
                <w:i/>
                <w:iCs/>
                <w:sz w:val="20"/>
                <w:szCs w:val="20"/>
              </w:rPr>
            </w:pPr>
            <w:r w:rsidRPr="008216FA">
              <w:rPr>
                <w:i/>
                <w:iCs/>
                <w:sz w:val="20"/>
                <w:szCs w:val="20"/>
              </w:rPr>
              <w:t xml:space="preserve">Delegated Regulations amending Regulation (EU) No 347/2013 as regards the Union list of projects of common interest (PCI) </w:t>
            </w:r>
          </w:p>
        </w:tc>
      </w:tr>
      <w:tr w:rsidR="00FC572C" w:rsidRPr="006D0053" w14:paraId="2F5A7561" w14:textId="77777777" w:rsidTr="00780D04">
        <w:tc>
          <w:tcPr>
            <w:tcW w:w="551" w:type="dxa"/>
          </w:tcPr>
          <w:p w14:paraId="1F0E675C" w14:textId="77777777" w:rsidR="00FC572C" w:rsidRPr="00780D04" w:rsidRDefault="00FC572C" w:rsidP="008216FA">
            <w:pPr>
              <w:pStyle w:val="Odstavekseznama"/>
              <w:ind w:left="0"/>
              <w:rPr>
                <w:rFonts w:cstheme="minorHAnsi"/>
                <w:i/>
                <w:iCs/>
                <w:sz w:val="20"/>
                <w:szCs w:val="20"/>
              </w:rPr>
            </w:pPr>
          </w:p>
        </w:tc>
        <w:tc>
          <w:tcPr>
            <w:tcW w:w="7791" w:type="dxa"/>
          </w:tcPr>
          <w:p w14:paraId="069FFBD5" w14:textId="51039274" w:rsidR="00FC572C" w:rsidRPr="008216FA" w:rsidRDefault="00FC572C" w:rsidP="008216FA">
            <w:pPr>
              <w:rPr>
                <w:i/>
                <w:iCs/>
                <w:sz w:val="20"/>
                <w:szCs w:val="20"/>
              </w:rPr>
            </w:pPr>
            <w:r w:rsidRPr="008216FA">
              <w:rPr>
                <w:i/>
                <w:iCs/>
                <w:sz w:val="20"/>
                <w:szCs w:val="20"/>
              </w:rPr>
              <w:t xml:space="preserve">Trans-European Network for Energy (TEN-E) </w:t>
            </w:r>
          </w:p>
        </w:tc>
      </w:tr>
      <w:tr w:rsidR="00FC572C" w:rsidRPr="006D0053" w14:paraId="47C78A98" w14:textId="77777777" w:rsidTr="00780D04">
        <w:tc>
          <w:tcPr>
            <w:tcW w:w="551" w:type="dxa"/>
          </w:tcPr>
          <w:p w14:paraId="4A3DF330" w14:textId="77777777" w:rsidR="00FC572C" w:rsidRPr="00780D04" w:rsidRDefault="00FC572C" w:rsidP="008216FA">
            <w:pPr>
              <w:pStyle w:val="Odstavekseznama"/>
              <w:ind w:left="0"/>
              <w:rPr>
                <w:rFonts w:cstheme="minorHAnsi"/>
                <w:i/>
                <w:iCs/>
                <w:sz w:val="20"/>
                <w:szCs w:val="20"/>
              </w:rPr>
            </w:pPr>
          </w:p>
        </w:tc>
        <w:tc>
          <w:tcPr>
            <w:tcW w:w="7791" w:type="dxa"/>
          </w:tcPr>
          <w:p w14:paraId="45A75F50" w14:textId="221F5679" w:rsidR="00FC572C" w:rsidRPr="008216FA" w:rsidRDefault="00FC572C" w:rsidP="008216FA">
            <w:pPr>
              <w:pStyle w:val="Odstavekseznama"/>
              <w:ind w:left="0"/>
              <w:rPr>
                <w:i/>
                <w:iCs/>
                <w:sz w:val="20"/>
                <w:szCs w:val="20"/>
              </w:rPr>
            </w:pPr>
            <w:r w:rsidRPr="008216FA">
              <w:rPr>
                <w:i/>
                <w:iCs/>
                <w:sz w:val="20"/>
                <w:szCs w:val="20"/>
              </w:rPr>
              <w:t>RCC South East Europe 2030 Strategy</w:t>
            </w:r>
          </w:p>
        </w:tc>
      </w:tr>
    </w:tbl>
    <w:p w14:paraId="6262D349" w14:textId="77777777" w:rsidR="006F60E0" w:rsidRPr="00EB6BE7" w:rsidRDefault="006F60E0" w:rsidP="003470D7">
      <w:pPr>
        <w:pStyle w:val="Odstavekseznama"/>
        <w:rPr>
          <w:i/>
          <w:iCs/>
        </w:rPr>
      </w:pPr>
    </w:p>
    <w:p w14:paraId="0F7B95C1" w14:textId="77777777" w:rsidR="003470D7" w:rsidRDefault="003470D7" w:rsidP="003470D7">
      <w:pPr>
        <w:pStyle w:val="Odstavekseznama"/>
        <w:ind w:left="2160"/>
      </w:pPr>
    </w:p>
    <w:p w14:paraId="4D8308B4" w14:textId="455C3016" w:rsidR="00566E0E" w:rsidRDefault="00566E0E" w:rsidP="006148DD">
      <w:pPr>
        <w:pStyle w:val="Odstavekseznama"/>
        <w:numPr>
          <w:ilvl w:val="2"/>
          <w:numId w:val="31"/>
        </w:numPr>
      </w:pPr>
      <w:r>
        <w:t>I</w:t>
      </w:r>
      <w:r w:rsidR="00EB6BE7">
        <w:t>s there another policy, or initiative</w:t>
      </w:r>
      <w:r w:rsidR="00BE4898">
        <w:t>,</w:t>
      </w:r>
      <w:r w:rsidR="00EB6BE7">
        <w:t xml:space="preserve"> to be mentioned?  </w:t>
      </w:r>
    </w:p>
    <w:p w14:paraId="7CAD8365" w14:textId="77777777" w:rsidR="003B082E" w:rsidRDefault="003B082E" w:rsidP="00780D04">
      <w:pPr>
        <w:pStyle w:val="Odstavekseznama"/>
      </w:pPr>
    </w:p>
    <w:tbl>
      <w:tblPr>
        <w:tblStyle w:val="Tabelamrea"/>
        <w:tblW w:w="0" w:type="auto"/>
        <w:tblInd w:w="720" w:type="dxa"/>
        <w:tblLook w:val="04A0" w:firstRow="1" w:lastRow="0" w:firstColumn="1" w:lastColumn="0" w:noHBand="0" w:noVBand="1"/>
      </w:tblPr>
      <w:tblGrid>
        <w:gridCol w:w="8342"/>
      </w:tblGrid>
      <w:tr w:rsidR="00F04A9C" w14:paraId="0D5AE453" w14:textId="77777777" w:rsidTr="00BC5D33">
        <w:tc>
          <w:tcPr>
            <w:tcW w:w="9062" w:type="dxa"/>
          </w:tcPr>
          <w:p w14:paraId="5AEB3B9D" w14:textId="62281D2B" w:rsidR="00F04A9C" w:rsidRDefault="00F04A9C" w:rsidP="00961B19">
            <w:pPr>
              <w:pStyle w:val="Odstavekseznama"/>
              <w:ind w:left="360"/>
            </w:pPr>
          </w:p>
        </w:tc>
      </w:tr>
    </w:tbl>
    <w:p w14:paraId="088B1682" w14:textId="77777777" w:rsidR="00F04A9C" w:rsidRDefault="00F04A9C" w:rsidP="00961B19"/>
    <w:p w14:paraId="4EB3E10C" w14:textId="77777777" w:rsidR="008A4F7F" w:rsidRDefault="008A4F7F" w:rsidP="00780D04"/>
    <w:p w14:paraId="1293DF25" w14:textId="3C4CC8BF" w:rsidR="00E32BD2" w:rsidRPr="00E32BD2" w:rsidRDefault="00E32BD2" w:rsidP="00871E90">
      <w:pPr>
        <w:pStyle w:val="Naslov3"/>
        <w:numPr>
          <w:ilvl w:val="1"/>
          <w:numId w:val="1"/>
        </w:numPr>
      </w:pPr>
      <w:r>
        <w:t>Actions</w:t>
      </w:r>
    </w:p>
    <w:p w14:paraId="01A54315" w14:textId="77777777" w:rsidR="008A4F7F" w:rsidRDefault="008A4F7F" w:rsidP="008A4F7F"/>
    <w:p w14:paraId="01A4E24A" w14:textId="0A7C9674" w:rsidR="008A4F7F" w:rsidRDefault="009E0B45" w:rsidP="00780D04">
      <w:r>
        <w:t xml:space="preserve">There are </w:t>
      </w:r>
      <w:r w:rsidR="008216FA">
        <w:t>three</w:t>
      </w:r>
      <w:r>
        <w:t xml:space="preserve"> </w:t>
      </w:r>
      <w:r w:rsidRPr="008216FA">
        <w:rPr>
          <w:b/>
          <w:bCs/>
        </w:rPr>
        <w:t>Actions</w:t>
      </w:r>
      <w:r>
        <w:t xml:space="preserve"> foreseen in the</w:t>
      </w:r>
      <w:r w:rsidR="001F1D2B">
        <w:t xml:space="preserve"> </w:t>
      </w:r>
      <w:r w:rsidR="00CC682D">
        <w:t>initial</w:t>
      </w:r>
      <w:r w:rsidR="005A6EF7" w:rsidRPr="00E32BD2">
        <w:t xml:space="preserve"> </w:t>
      </w:r>
      <w:r w:rsidR="00EB6BE7">
        <w:t>policy</w:t>
      </w:r>
      <w:r w:rsidR="005A6EF7" w:rsidRPr="00E32BD2">
        <w:t xml:space="preserve"> paper</w:t>
      </w:r>
      <w:r w:rsidR="008A4F7F">
        <w:t>:</w:t>
      </w:r>
    </w:p>
    <w:p w14:paraId="58F918F1" w14:textId="153F52CD" w:rsidR="003F528E" w:rsidRPr="008216FA" w:rsidRDefault="003F528E" w:rsidP="008216FA">
      <w:pPr>
        <w:spacing w:after="0" w:line="240" w:lineRule="auto"/>
        <w:rPr>
          <w:b/>
          <w:i/>
          <w:iCs/>
          <w:sz w:val="20"/>
          <w:szCs w:val="20"/>
        </w:rPr>
      </w:pPr>
      <w:r w:rsidRPr="008216FA">
        <w:rPr>
          <w:b/>
          <w:i/>
          <w:iCs/>
          <w:sz w:val="20"/>
          <w:szCs w:val="20"/>
        </w:rPr>
        <w:t>Action 1.1: Integrated power networks and market supporting the green transition of Adriatic Ionian Region:</w:t>
      </w:r>
    </w:p>
    <w:p w14:paraId="673ECA49" w14:textId="31ED6C76" w:rsidR="003F528E" w:rsidRPr="008216FA" w:rsidRDefault="003F528E" w:rsidP="008216FA">
      <w:pPr>
        <w:pStyle w:val="Odstavekseznama"/>
        <w:numPr>
          <w:ilvl w:val="0"/>
          <w:numId w:val="43"/>
        </w:numPr>
        <w:spacing w:after="0" w:line="240" w:lineRule="auto"/>
        <w:ind w:left="284" w:hanging="142"/>
        <w:rPr>
          <w:i/>
          <w:iCs/>
          <w:sz w:val="20"/>
          <w:szCs w:val="20"/>
        </w:rPr>
      </w:pPr>
      <w:r w:rsidRPr="008216FA">
        <w:rPr>
          <w:i/>
          <w:iCs/>
          <w:sz w:val="20"/>
          <w:szCs w:val="20"/>
        </w:rPr>
        <w:t>Projects supporting the Trans</w:t>
      </w:r>
      <w:r w:rsidR="002111EF" w:rsidRPr="008216FA">
        <w:rPr>
          <w:i/>
          <w:iCs/>
          <w:sz w:val="20"/>
          <w:szCs w:val="20"/>
        </w:rPr>
        <w:t>-</w:t>
      </w:r>
      <w:r w:rsidRPr="008216FA">
        <w:rPr>
          <w:i/>
          <w:iCs/>
          <w:sz w:val="20"/>
          <w:szCs w:val="20"/>
        </w:rPr>
        <w:t xml:space="preserve">balkan Electricity Corridor: new power transmission lines, their reinforcements to allow electricity trade, improve grid stability and the large-scale deployment of source, future-proofing - market integration of the planned RES investments. </w:t>
      </w:r>
    </w:p>
    <w:p w14:paraId="6EE35292" w14:textId="77777777" w:rsidR="003F528E" w:rsidRPr="008216FA" w:rsidRDefault="003F528E" w:rsidP="008216FA">
      <w:pPr>
        <w:pStyle w:val="Odstavekseznama"/>
        <w:numPr>
          <w:ilvl w:val="0"/>
          <w:numId w:val="43"/>
        </w:numPr>
        <w:spacing w:after="0" w:line="240" w:lineRule="auto"/>
        <w:ind w:left="284" w:hanging="142"/>
        <w:rPr>
          <w:i/>
          <w:iCs/>
          <w:sz w:val="20"/>
          <w:szCs w:val="20"/>
        </w:rPr>
      </w:pPr>
      <w:r w:rsidRPr="008216FA">
        <w:rPr>
          <w:i/>
          <w:iCs/>
          <w:sz w:val="20"/>
          <w:szCs w:val="20"/>
        </w:rPr>
        <w:t xml:space="preserve">Power market coupling and integration. Creation of a wholesale power market for the Adriatic-Ionian Region according to a number of steps including harmonisation of electricity transmission tariffs, addressing regulatory barriers and pending Treaty reform in the Energy  Community Parties,  progressive market coupling, power purchase agreements and use of blockchain to facilitate electricity trading. </w:t>
      </w:r>
    </w:p>
    <w:p w14:paraId="536E141E" w14:textId="77777777" w:rsidR="008216FA" w:rsidRDefault="003F528E" w:rsidP="008216FA">
      <w:pPr>
        <w:pStyle w:val="Odstavekseznama"/>
        <w:numPr>
          <w:ilvl w:val="0"/>
          <w:numId w:val="43"/>
        </w:numPr>
        <w:spacing w:after="0"/>
        <w:ind w:left="284" w:hanging="142"/>
        <w:rPr>
          <w:i/>
          <w:iCs/>
          <w:sz w:val="20"/>
          <w:szCs w:val="20"/>
        </w:rPr>
      </w:pPr>
      <w:r w:rsidRPr="008216FA">
        <w:rPr>
          <w:i/>
          <w:iCs/>
          <w:sz w:val="20"/>
          <w:szCs w:val="20"/>
        </w:rPr>
        <w:t>In-depth analysis of the differences of regional and national electricity markets, with respect to regulatory frameworks and market maturity. Development of customised approaches to address these barriers paying close attention to these systemic market differences.</w:t>
      </w:r>
    </w:p>
    <w:p w14:paraId="4C0F786C" w14:textId="6086A19F" w:rsidR="003F528E" w:rsidRDefault="003F528E" w:rsidP="008216FA">
      <w:pPr>
        <w:pStyle w:val="Odstavekseznama"/>
        <w:numPr>
          <w:ilvl w:val="0"/>
          <w:numId w:val="43"/>
        </w:numPr>
        <w:spacing w:after="0"/>
        <w:ind w:left="284" w:hanging="142"/>
        <w:rPr>
          <w:i/>
          <w:iCs/>
          <w:sz w:val="20"/>
          <w:szCs w:val="20"/>
        </w:rPr>
      </w:pPr>
      <w:r w:rsidRPr="008216FA">
        <w:rPr>
          <w:i/>
          <w:iCs/>
          <w:sz w:val="20"/>
          <w:szCs w:val="20"/>
        </w:rPr>
        <w:lastRenderedPageBreak/>
        <w:t>Digitalisation of the power system, smart electricity grids deployment: adopting smart grid technologies across the Region to efficiently integrate the behaviour and actions of all users connected to the electricity network, in particular the generation of large amounts of electricity from renewable or distributed energy sources and demand response by consumers, energy storage, electric vehicles and other flexibility sources and, in addition, as regards islands and island systems, decreasing energy isolation.  According to the Clean Energy for All Europeans package and the several National Energy and Climate Plans priority should be given to the clean energy transition. In this context new collaborative projects are envisioned.</w:t>
      </w:r>
    </w:p>
    <w:p w14:paraId="27F32B80" w14:textId="77777777" w:rsidR="008216FA" w:rsidRPr="008216FA" w:rsidRDefault="008216FA" w:rsidP="008216FA">
      <w:pPr>
        <w:pStyle w:val="Odstavekseznama"/>
        <w:spacing w:after="0"/>
        <w:ind w:left="284"/>
        <w:rPr>
          <w:i/>
          <w:iCs/>
          <w:sz w:val="20"/>
          <w:szCs w:val="20"/>
        </w:rPr>
      </w:pPr>
    </w:p>
    <w:p w14:paraId="50455DAB" w14:textId="34D5F87B" w:rsidR="003F528E" w:rsidRPr="008216FA" w:rsidRDefault="003F528E" w:rsidP="008216FA">
      <w:pPr>
        <w:pStyle w:val="Default"/>
        <w:rPr>
          <w:rFonts w:asciiTheme="minorHAnsi" w:hAnsiTheme="minorHAnsi" w:cstheme="minorBidi"/>
          <w:b/>
          <w:i/>
          <w:iCs/>
          <w:color w:val="auto"/>
          <w:sz w:val="20"/>
          <w:szCs w:val="20"/>
        </w:rPr>
      </w:pPr>
      <w:r w:rsidRPr="008216FA">
        <w:rPr>
          <w:b/>
          <w:i/>
          <w:iCs/>
          <w:sz w:val="20"/>
          <w:szCs w:val="20"/>
        </w:rPr>
        <w:t xml:space="preserve"> Action 1.2: </w:t>
      </w:r>
      <w:r w:rsidR="00DD5169" w:rsidRPr="00DD5169">
        <w:rPr>
          <w:rFonts w:asciiTheme="minorHAnsi" w:hAnsiTheme="minorHAnsi" w:cstheme="minorBidi"/>
          <w:b/>
          <w:i/>
          <w:iCs/>
          <w:color w:val="auto"/>
          <w:sz w:val="20"/>
          <w:szCs w:val="20"/>
        </w:rPr>
        <w:t>Integrated natural gas corridors, infrastructure  and market supporting the energy transition of Adriatic Ionian Region:</w:t>
      </w:r>
    </w:p>
    <w:p w14:paraId="1027534C" w14:textId="77777777" w:rsidR="003F528E" w:rsidRPr="008216FA" w:rsidRDefault="003F528E" w:rsidP="008216FA">
      <w:pPr>
        <w:pStyle w:val="Default"/>
        <w:numPr>
          <w:ilvl w:val="0"/>
          <w:numId w:val="44"/>
        </w:numPr>
        <w:ind w:left="284" w:hanging="142"/>
        <w:rPr>
          <w:rFonts w:asciiTheme="minorHAnsi" w:hAnsiTheme="minorHAnsi" w:cstheme="minorBidi"/>
          <w:i/>
          <w:iCs/>
          <w:color w:val="auto"/>
          <w:sz w:val="20"/>
          <w:szCs w:val="20"/>
        </w:rPr>
      </w:pPr>
      <w:r w:rsidRPr="008216FA">
        <w:rPr>
          <w:rFonts w:asciiTheme="minorHAnsi" w:hAnsiTheme="minorHAnsi" w:cstheme="minorBidi"/>
          <w:i/>
          <w:iCs/>
          <w:color w:val="auto"/>
          <w:sz w:val="20"/>
          <w:szCs w:val="20"/>
        </w:rPr>
        <w:t>Projects supporting Transbalkan Gas Ring: new gas pipelines, gas storage facilities and counter flows.</w:t>
      </w:r>
    </w:p>
    <w:p w14:paraId="4FB34CD8" w14:textId="77777777" w:rsidR="003F528E" w:rsidRPr="008216FA" w:rsidRDefault="003F528E" w:rsidP="008216FA">
      <w:pPr>
        <w:pStyle w:val="Default"/>
        <w:numPr>
          <w:ilvl w:val="0"/>
          <w:numId w:val="44"/>
        </w:numPr>
        <w:ind w:left="284" w:hanging="142"/>
        <w:rPr>
          <w:rFonts w:asciiTheme="minorHAnsi" w:hAnsiTheme="minorHAnsi" w:cstheme="minorBidi"/>
          <w:i/>
          <w:iCs/>
          <w:color w:val="auto"/>
          <w:sz w:val="20"/>
          <w:szCs w:val="20"/>
        </w:rPr>
      </w:pPr>
      <w:r w:rsidRPr="008216FA">
        <w:rPr>
          <w:rFonts w:asciiTheme="minorHAnsi" w:hAnsiTheme="minorHAnsi" w:cstheme="minorBidi"/>
          <w:i/>
          <w:iCs/>
          <w:color w:val="auto"/>
          <w:sz w:val="20"/>
          <w:szCs w:val="20"/>
        </w:rPr>
        <w:t>Projects supporting Ionian-Adriatic Gas Pipeline (IAP). The IAP is a strategic gas supply infrastructure linking. Albania, Montenegro, Bosnia and Herzegovina and Croatia to take advantage from and synergise with the Transbalkan Gas Ring and the Transadriatic Gas Pipeline. The implementation of the entire Ionian Adriatic Pipeline project enables opening of the new energy corridor for the SEE region within the Southern Gas Corridor, with the aim to establish a new natural gas supply direction from the Middle East and Caspian region.</w:t>
      </w:r>
    </w:p>
    <w:p w14:paraId="2C97EA30" w14:textId="77777777" w:rsidR="003F528E" w:rsidRPr="008216FA" w:rsidRDefault="003F528E" w:rsidP="008216FA">
      <w:pPr>
        <w:pStyle w:val="Default"/>
        <w:numPr>
          <w:ilvl w:val="0"/>
          <w:numId w:val="44"/>
        </w:numPr>
        <w:ind w:left="284" w:hanging="142"/>
        <w:rPr>
          <w:rFonts w:asciiTheme="minorHAnsi" w:hAnsiTheme="minorHAnsi" w:cstheme="minorBidi"/>
          <w:i/>
          <w:iCs/>
          <w:color w:val="auto"/>
          <w:sz w:val="20"/>
          <w:szCs w:val="20"/>
        </w:rPr>
      </w:pPr>
      <w:r w:rsidRPr="008216FA">
        <w:rPr>
          <w:rFonts w:asciiTheme="minorHAnsi" w:hAnsiTheme="minorHAnsi" w:cstheme="minorBidi"/>
          <w:i/>
          <w:iCs/>
          <w:color w:val="auto"/>
          <w:sz w:val="20"/>
          <w:szCs w:val="20"/>
        </w:rPr>
        <w:t xml:space="preserve">Eastern Mediterranean Gas Pipeline (East Med). Gas pipeline from the South East Mediterranean through Crete and continental Greece to exploit discoveries of off-shore gas resources. The pipeline which should connect Greece with Italy. EastMed Pipeline is a project of an offshore/onshore natural gas pipeline that will link the recently discovered off-shore gas reserves in the Levantine Basin with the Greek National gas system and with the IGI-Poseidon Pipeline to Italy. The project enables the supply of South East European markets, thereby strengthening security of supply through the diversification of sources and routes. The beginning of construction is expected in 2022. The project is estimated to be completed in 2025. </w:t>
      </w:r>
    </w:p>
    <w:p w14:paraId="5B00069B" w14:textId="77777777" w:rsidR="003F528E" w:rsidRPr="008216FA" w:rsidRDefault="003F528E" w:rsidP="008216FA">
      <w:pPr>
        <w:pStyle w:val="Default"/>
        <w:numPr>
          <w:ilvl w:val="0"/>
          <w:numId w:val="44"/>
        </w:numPr>
        <w:ind w:left="284" w:hanging="142"/>
        <w:rPr>
          <w:rFonts w:asciiTheme="minorHAnsi" w:hAnsiTheme="minorHAnsi" w:cstheme="minorBidi"/>
          <w:i/>
          <w:iCs/>
          <w:color w:val="auto"/>
          <w:sz w:val="20"/>
          <w:szCs w:val="20"/>
        </w:rPr>
      </w:pPr>
      <w:r w:rsidRPr="008216FA">
        <w:rPr>
          <w:rFonts w:asciiTheme="minorHAnsi" w:hAnsiTheme="minorHAnsi" w:cstheme="minorBidi"/>
          <w:i/>
          <w:iCs/>
          <w:color w:val="auto"/>
          <w:sz w:val="20"/>
          <w:szCs w:val="20"/>
        </w:rPr>
        <w:t>North Macedonia gas interconnectors. Three gas interconnectors are envisioned by this project: interconnection of North Macedonia natural gas system with Albania, Greece and Serbia toward a fully integrated gas network.</w:t>
      </w:r>
    </w:p>
    <w:p w14:paraId="2B0A59FA" w14:textId="77777777" w:rsidR="003F528E" w:rsidRPr="008216FA" w:rsidRDefault="003F528E" w:rsidP="008216FA">
      <w:pPr>
        <w:pStyle w:val="Default"/>
        <w:numPr>
          <w:ilvl w:val="0"/>
          <w:numId w:val="44"/>
        </w:numPr>
        <w:ind w:left="284" w:hanging="142"/>
        <w:rPr>
          <w:rFonts w:asciiTheme="minorHAnsi" w:hAnsiTheme="minorHAnsi" w:cstheme="minorBidi"/>
          <w:i/>
          <w:iCs/>
          <w:color w:val="auto"/>
          <w:sz w:val="20"/>
          <w:szCs w:val="20"/>
        </w:rPr>
      </w:pPr>
      <w:r w:rsidRPr="008216FA">
        <w:rPr>
          <w:rFonts w:asciiTheme="minorHAnsi" w:hAnsiTheme="minorHAnsi" w:cstheme="minorBidi"/>
          <w:i/>
          <w:iCs/>
          <w:color w:val="auto"/>
          <w:sz w:val="20"/>
          <w:szCs w:val="20"/>
        </w:rPr>
        <w:t xml:space="preserve">Natural gas trading hub for the Balkan Region. The trading hub would allow to exchange contracts, enhance competition when feasible, while promoting security of gas supply. </w:t>
      </w:r>
    </w:p>
    <w:p w14:paraId="1CA00C2F" w14:textId="38B3AFCC" w:rsidR="00A570D2" w:rsidRDefault="003F528E" w:rsidP="008216FA">
      <w:pPr>
        <w:pStyle w:val="Odstavekseznama"/>
        <w:numPr>
          <w:ilvl w:val="0"/>
          <w:numId w:val="44"/>
        </w:numPr>
        <w:spacing w:after="0"/>
        <w:ind w:left="284" w:hanging="142"/>
        <w:rPr>
          <w:i/>
          <w:iCs/>
          <w:sz w:val="20"/>
          <w:szCs w:val="20"/>
        </w:rPr>
      </w:pPr>
      <w:r w:rsidRPr="008216FA">
        <w:rPr>
          <w:i/>
          <w:iCs/>
          <w:sz w:val="20"/>
          <w:szCs w:val="20"/>
        </w:rPr>
        <w:t>Future-proofing planned gas infrastructure and checking the readiness and needed investments into existing infrastructure for future repurposing.</w:t>
      </w:r>
    </w:p>
    <w:p w14:paraId="606BFB93" w14:textId="6E6AFF6C" w:rsidR="00DD5169" w:rsidRPr="008216FA" w:rsidRDefault="00DD5169" w:rsidP="008216FA">
      <w:pPr>
        <w:pStyle w:val="Odstavekseznama"/>
        <w:numPr>
          <w:ilvl w:val="0"/>
          <w:numId w:val="44"/>
        </w:numPr>
        <w:spacing w:after="0"/>
        <w:ind w:left="284" w:hanging="142"/>
        <w:rPr>
          <w:i/>
          <w:iCs/>
          <w:sz w:val="20"/>
          <w:szCs w:val="20"/>
        </w:rPr>
      </w:pPr>
      <w:r w:rsidRPr="00DD5169">
        <w:rPr>
          <w:i/>
          <w:iCs/>
          <w:sz w:val="20"/>
          <w:szCs w:val="20"/>
        </w:rPr>
        <w:t>Natural gas storage and natural gas counterflows as essentials for a well-functioning, reliable and integrated gas systems).</w:t>
      </w:r>
    </w:p>
    <w:p w14:paraId="290EA12D" w14:textId="3149FEDC" w:rsidR="00A570D2" w:rsidRPr="00FC307D" w:rsidRDefault="00A570D2" w:rsidP="00582E41">
      <w:pPr>
        <w:spacing w:after="0"/>
        <w:rPr>
          <w:i/>
          <w:iCs/>
          <w:sz w:val="20"/>
          <w:szCs w:val="20"/>
        </w:rPr>
      </w:pPr>
    </w:p>
    <w:p w14:paraId="0E6347D6" w14:textId="4DF8226B" w:rsidR="00DD5169" w:rsidRPr="00AA13D8" w:rsidRDefault="00A570D2" w:rsidP="00AA13D8">
      <w:r w:rsidRPr="00AA13D8">
        <w:rPr>
          <w:b/>
          <w:i/>
          <w:iCs/>
          <w:sz w:val="20"/>
          <w:szCs w:val="20"/>
        </w:rPr>
        <w:t xml:space="preserve">Action 1.3: </w:t>
      </w:r>
      <w:r w:rsidR="00DD5169" w:rsidRPr="00AA13D8">
        <w:rPr>
          <w:b/>
          <w:i/>
          <w:iCs/>
          <w:sz w:val="20"/>
          <w:szCs w:val="20"/>
        </w:rPr>
        <w:t xml:space="preserve">LNG infrastructure, logistics and direct use of LNG for marine and road transport, as well as other use (notably in process industry). </w:t>
      </w:r>
      <w:r w:rsidR="00DD5169" w:rsidRPr="00AA13D8">
        <w:rPr>
          <w:bCs/>
          <w:i/>
          <w:iCs/>
          <w:sz w:val="20"/>
          <w:szCs w:val="20"/>
        </w:rPr>
        <w:t>Also LNG can be large-scale and small-scale while allowing for the transmission of bio-LNG and synthetic methane</w:t>
      </w:r>
      <w:r w:rsidR="00DD5169" w:rsidRPr="00AA13D8">
        <w:rPr>
          <w:b/>
          <w:i/>
          <w:iCs/>
          <w:sz w:val="20"/>
          <w:szCs w:val="20"/>
        </w:rPr>
        <w:t>.</w:t>
      </w:r>
    </w:p>
    <w:p w14:paraId="6A14E741" w14:textId="77777777" w:rsidR="00A570D2" w:rsidRPr="00AA13D8" w:rsidRDefault="00A570D2" w:rsidP="00AA13D8">
      <w:pPr>
        <w:pStyle w:val="Odstavekseznama"/>
        <w:numPr>
          <w:ilvl w:val="0"/>
          <w:numId w:val="45"/>
        </w:numPr>
        <w:spacing w:after="0" w:line="240" w:lineRule="auto"/>
        <w:ind w:left="284" w:hanging="142"/>
        <w:rPr>
          <w:i/>
          <w:iCs/>
          <w:sz w:val="20"/>
          <w:szCs w:val="20"/>
        </w:rPr>
      </w:pPr>
      <w:r w:rsidRPr="00AA13D8">
        <w:rPr>
          <w:i/>
          <w:iCs/>
          <w:sz w:val="20"/>
          <w:szCs w:val="20"/>
        </w:rPr>
        <w:t xml:space="preserve">Projects related to harbor LNG infrastructure: design, construction and management of an LNG infrastructure in key harbours of the Adriatic-Ionian Sea including co-ordination of main port authorities. </w:t>
      </w:r>
    </w:p>
    <w:p w14:paraId="3EF8A452" w14:textId="7801A3EC" w:rsidR="00A570D2" w:rsidRPr="00AA13D8" w:rsidRDefault="00A570D2" w:rsidP="008216FA">
      <w:pPr>
        <w:pStyle w:val="Odstavekseznama"/>
        <w:numPr>
          <w:ilvl w:val="0"/>
          <w:numId w:val="45"/>
        </w:numPr>
        <w:spacing w:after="0" w:line="240" w:lineRule="auto"/>
        <w:ind w:left="284" w:hanging="142"/>
        <w:rPr>
          <w:i/>
          <w:iCs/>
          <w:sz w:val="20"/>
          <w:szCs w:val="20"/>
        </w:rPr>
      </w:pPr>
      <w:r w:rsidRPr="00AA13D8">
        <w:rPr>
          <w:i/>
          <w:iCs/>
          <w:sz w:val="20"/>
          <w:szCs w:val="20"/>
        </w:rPr>
        <w:t xml:space="preserve">Projects related to design, construction and management of a network of LNG </w:t>
      </w:r>
      <w:r w:rsidR="008216FA" w:rsidRPr="00AA13D8">
        <w:rPr>
          <w:i/>
          <w:iCs/>
          <w:sz w:val="20"/>
          <w:szCs w:val="20"/>
        </w:rPr>
        <w:t>refueling</w:t>
      </w:r>
      <w:r w:rsidRPr="00AA13D8">
        <w:rPr>
          <w:i/>
          <w:iCs/>
          <w:sz w:val="20"/>
          <w:szCs w:val="20"/>
        </w:rPr>
        <w:t xml:space="preserve"> stations for road transport</w:t>
      </w:r>
    </w:p>
    <w:p w14:paraId="7EC30AA5" w14:textId="63C4B35B" w:rsidR="00A570D2" w:rsidRPr="00AA13D8" w:rsidRDefault="00A570D2" w:rsidP="008216FA">
      <w:pPr>
        <w:pStyle w:val="Odstavekseznama"/>
        <w:numPr>
          <w:ilvl w:val="0"/>
          <w:numId w:val="45"/>
        </w:numPr>
        <w:spacing w:after="0"/>
        <w:ind w:left="284" w:hanging="142"/>
        <w:rPr>
          <w:i/>
          <w:iCs/>
          <w:sz w:val="20"/>
          <w:szCs w:val="20"/>
        </w:rPr>
      </w:pPr>
      <w:r w:rsidRPr="00AA13D8">
        <w:rPr>
          <w:i/>
          <w:iCs/>
          <w:sz w:val="20"/>
          <w:szCs w:val="20"/>
        </w:rPr>
        <w:t>Projects to promote marine and road truck engine conversion to the LNG use as a fuel.</w:t>
      </w:r>
    </w:p>
    <w:p w14:paraId="308F0433" w14:textId="763087A5" w:rsidR="008A4F7F" w:rsidRPr="00780D04" w:rsidRDefault="008A4F7F" w:rsidP="00780D04">
      <w:pPr>
        <w:spacing w:after="0"/>
        <w:rPr>
          <w:i/>
          <w:iCs/>
          <w:sz w:val="20"/>
          <w:szCs w:val="20"/>
        </w:rPr>
      </w:pPr>
    </w:p>
    <w:p w14:paraId="04864DC4" w14:textId="77777777" w:rsidR="008A4F7F" w:rsidRDefault="008A4F7F" w:rsidP="00E90746">
      <w:pPr>
        <w:pStyle w:val="Odstavekseznama"/>
      </w:pPr>
    </w:p>
    <w:p w14:paraId="048E0054" w14:textId="59688415" w:rsidR="00747C6C" w:rsidRDefault="00747C6C" w:rsidP="008216FA">
      <w:pPr>
        <w:pStyle w:val="Odstavekseznama"/>
        <w:numPr>
          <w:ilvl w:val="2"/>
          <w:numId w:val="31"/>
        </w:numPr>
      </w:pPr>
      <w:bookmarkStart w:id="2" w:name="_Hlk119355542"/>
      <w:r w:rsidRPr="00E32BD2">
        <w:t xml:space="preserve">Please </w:t>
      </w:r>
      <w:r w:rsidRPr="008216FA">
        <w:rPr>
          <w:b/>
          <w:bCs/>
        </w:rPr>
        <w:t>prioritise the actions</w:t>
      </w:r>
      <w:r w:rsidRPr="00E32BD2">
        <w:t xml:space="preserve"> provided in the</w:t>
      </w:r>
      <w:r>
        <w:t xml:space="preserve"> initial</w:t>
      </w:r>
      <w:r w:rsidRPr="00E32BD2">
        <w:t xml:space="preserve"> </w:t>
      </w:r>
      <w:r>
        <w:t>policy</w:t>
      </w:r>
      <w:r w:rsidRPr="00E32BD2">
        <w:t xml:space="preserve"> paper to reflect how important you find them for </w:t>
      </w:r>
      <w:r w:rsidRPr="001827A0">
        <w:t>your country's</w:t>
      </w:r>
      <w:r w:rsidRPr="00E32BD2">
        <w:t xml:space="preserve"> cooperation in EUSAIR</w:t>
      </w:r>
      <w:r w:rsidR="00587CAC">
        <w:t>.</w:t>
      </w:r>
      <w:r>
        <w:t xml:space="preserve"> </w:t>
      </w:r>
      <w:r w:rsidRPr="008216FA">
        <w:rPr>
          <w:i/>
          <w:iCs/>
          <w:highlight w:val="yellow"/>
        </w:rPr>
        <w:t xml:space="preserve">(1 being the most important, </w:t>
      </w:r>
      <w:r w:rsidR="008216FA" w:rsidRPr="008216FA">
        <w:rPr>
          <w:i/>
          <w:iCs/>
          <w:highlight w:val="yellow"/>
        </w:rPr>
        <w:t>3</w:t>
      </w:r>
      <w:r w:rsidRPr="008216FA">
        <w:rPr>
          <w:i/>
          <w:iCs/>
          <w:highlight w:val="yellow"/>
        </w:rPr>
        <w:t xml:space="preserve"> the least important)</w:t>
      </w:r>
      <w:r w:rsidRPr="008216FA">
        <w:t>.</w:t>
      </w:r>
    </w:p>
    <w:bookmarkEnd w:id="2"/>
    <w:p w14:paraId="12FA6668" w14:textId="7F6DAD97" w:rsidR="006D0053" w:rsidRDefault="006D0053" w:rsidP="006148DD">
      <w:pPr>
        <w:pStyle w:val="Odstavekseznama"/>
        <w:spacing w:after="0"/>
        <w:rPr>
          <w:i/>
          <w:iCs/>
        </w:rPr>
      </w:pPr>
    </w:p>
    <w:tbl>
      <w:tblPr>
        <w:tblStyle w:val="Tabelamrea"/>
        <w:tblW w:w="8347" w:type="dxa"/>
        <w:tblInd w:w="720" w:type="dxa"/>
        <w:tblLook w:val="04A0" w:firstRow="1" w:lastRow="0" w:firstColumn="1" w:lastColumn="0" w:noHBand="0" w:noVBand="1"/>
      </w:tblPr>
      <w:tblGrid>
        <w:gridCol w:w="409"/>
        <w:gridCol w:w="7938"/>
      </w:tblGrid>
      <w:tr w:rsidR="008216FA" w14:paraId="0CAE9560" w14:textId="77777777" w:rsidTr="008216FA">
        <w:tc>
          <w:tcPr>
            <w:tcW w:w="409" w:type="dxa"/>
            <w:shd w:val="clear" w:color="auto" w:fill="D9D9D9" w:themeFill="background1" w:themeFillShade="D9"/>
          </w:tcPr>
          <w:p w14:paraId="3AFB5B2D" w14:textId="647281CC" w:rsidR="008216FA" w:rsidRDefault="008216FA" w:rsidP="007315D2">
            <w:pPr>
              <w:jc w:val="center"/>
              <w:rPr>
                <w:b/>
                <w:bCs/>
                <w:sz w:val="20"/>
                <w:szCs w:val="20"/>
              </w:rPr>
            </w:pPr>
          </w:p>
        </w:tc>
        <w:tc>
          <w:tcPr>
            <w:tcW w:w="7938" w:type="dxa"/>
            <w:shd w:val="clear" w:color="auto" w:fill="D9D9D9" w:themeFill="background1" w:themeFillShade="D9"/>
          </w:tcPr>
          <w:p w14:paraId="1F153C14" w14:textId="286F1C6E" w:rsidR="008216FA" w:rsidRDefault="008216FA" w:rsidP="007315D2">
            <w:pPr>
              <w:jc w:val="center"/>
              <w:rPr>
                <w:b/>
                <w:bCs/>
                <w:sz w:val="20"/>
                <w:szCs w:val="20"/>
              </w:rPr>
            </w:pPr>
            <w:r>
              <w:rPr>
                <w:b/>
                <w:bCs/>
                <w:sz w:val="20"/>
                <w:szCs w:val="20"/>
              </w:rPr>
              <w:t>Action title</w:t>
            </w:r>
          </w:p>
        </w:tc>
      </w:tr>
      <w:tr w:rsidR="008216FA" w14:paraId="5B67FBA4" w14:textId="27A9897B" w:rsidTr="008216FA">
        <w:tc>
          <w:tcPr>
            <w:tcW w:w="409" w:type="dxa"/>
          </w:tcPr>
          <w:p w14:paraId="62732082" w14:textId="759858CA" w:rsidR="008216FA" w:rsidRDefault="008216FA" w:rsidP="006F60E0">
            <w:pPr>
              <w:rPr>
                <w:b/>
                <w:bCs/>
                <w:sz w:val="20"/>
                <w:szCs w:val="20"/>
              </w:rPr>
            </w:pPr>
          </w:p>
        </w:tc>
        <w:tc>
          <w:tcPr>
            <w:tcW w:w="7938" w:type="dxa"/>
          </w:tcPr>
          <w:p w14:paraId="3C95D70E" w14:textId="09AC2624" w:rsidR="008216FA" w:rsidRPr="008216FA" w:rsidRDefault="008216FA" w:rsidP="00780D04">
            <w:pPr>
              <w:rPr>
                <w:i/>
                <w:iCs/>
                <w:sz w:val="20"/>
                <w:szCs w:val="20"/>
              </w:rPr>
            </w:pPr>
            <w:r w:rsidRPr="008216FA">
              <w:rPr>
                <w:bCs/>
                <w:i/>
                <w:iCs/>
                <w:sz w:val="20"/>
                <w:szCs w:val="20"/>
              </w:rPr>
              <w:t>Action 1.1: Integrated power networks and market supporting the green transition of Adriatic Ionian Region</w:t>
            </w:r>
            <w:r w:rsidRPr="008216FA" w:rsidDel="002C5865">
              <w:rPr>
                <w:i/>
                <w:iCs/>
                <w:sz w:val="20"/>
                <w:szCs w:val="20"/>
              </w:rPr>
              <w:t xml:space="preserve"> </w:t>
            </w:r>
          </w:p>
        </w:tc>
      </w:tr>
      <w:tr w:rsidR="008216FA" w14:paraId="703C0E10" w14:textId="77777777" w:rsidTr="008216FA">
        <w:tc>
          <w:tcPr>
            <w:tcW w:w="409" w:type="dxa"/>
          </w:tcPr>
          <w:p w14:paraId="6E5EF41C" w14:textId="77777777" w:rsidR="008216FA" w:rsidRDefault="008216FA" w:rsidP="00A375A8">
            <w:pPr>
              <w:rPr>
                <w:b/>
                <w:bCs/>
                <w:sz w:val="20"/>
                <w:szCs w:val="20"/>
              </w:rPr>
            </w:pPr>
          </w:p>
        </w:tc>
        <w:tc>
          <w:tcPr>
            <w:tcW w:w="7938" w:type="dxa"/>
          </w:tcPr>
          <w:p w14:paraId="1DD3E1DA" w14:textId="3971AC44" w:rsidR="008216FA" w:rsidRPr="008216FA" w:rsidRDefault="008216FA" w:rsidP="00780D04">
            <w:pPr>
              <w:rPr>
                <w:i/>
                <w:iCs/>
                <w:sz w:val="20"/>
                <w:szCs w:val="20"/>
              </w:rPr>
            </w:pPr>
            <w:r w:rsidRPr="008216FA">
              <w:rPr>
                <w:i/>
                <w:iCs/>
                <w:sz w:val="20"/>
                <w:szCs w:val="20"/>
              </w:rPr>
              <w:t xml:space="preserve">Action 1.2: </w:t>
            </w:r>
            <w:r w:rsidR="00DD5169" w:rsidRPr="00DD5169">
              <w:rPr>
                <w:bCs/>
                <w:i/>
                <w:iCs/>
                <w:sz w:val="20"/>
                <w:szCs w:val="20"/>
              </w:rPr>
              <w:t>Integrated natural gas corridors, infrastructure  and market supporting the energy transition of Adriatic Ionian Region</w:t>
            </w:r>
          </w:p>
        </w:tc>
      </w:tr>
      <w:tr w:rsidR="008216FA" w14:paraId="55C38205" w14:textId="77777777" w:rsidTr="008216FA">
        <w:tc>
          <w:tcPr>
            <w:tcW w:w="409" w:type="dxa"/>
          </w:tcPr>
          <w:p w14:paraId="5C74F4B7" w14:textId="77777777" w:rsidR="008216FA" w:rsidRDefault="008216FA" w:rsidP="00A375A8">
            <w:pPr>
              <w:rPr>
                <w:b/>
                <w:bCs/>
                <w:sz w:val="20"/>
                <w:szCs w:val="20"/>
              </w:rPr>
            </w:pPr>
          </w:p>
        </w:tc>
        <w:tc>
          <w:tcPr>
            <w:tcW w:w="7938" w:type="dxa"/>
          </w:tcPr>
          <w:p w14:paraId="3E942E5D" w14:textId="0F4EC5B4" w:rsidR="008216FA" w:rsidRPr="008216FA" w:rsidRDefault="008216FA">
            <w:pPr>
              <w:rPr>
                <w:i/>
                <w:iCs/>
                <w:sz w:val="20"/>
                <w:szCs w:val="20"/>
              </w:rPr>
            </w:pPr>
            <w:r w:rsidRPr="008216FA">
              <w:rPr>
                <w:i/>
                <w:iCs/>
                <w:sz w:val="20"/>
                <w:szCs w:val="20"/>
              </w:rPr>
              <w:t xml:space="preserve">Action 1.3: </w:t>
            </w:r>
            <w:r w:rsidR="00DD5169" w:rsidRPr="00DD5169">
              <w:rPr>
                <w:i/>
                <w:iCs/>
                <w:sz w:val="20"/>
                <w:szCs w:val="20"/>
              </w:rPr>
              <w:t>LNG infrastructure, logistics and direct use of LNG for marine and road transport, as well as other use (notably in process industry)</w:t>
            </w:r>
          </w:p>
        </w:tc>
      </w:tr>
    </w:tbl>
    <w:p w14:paraId="6B97E0BE" w14:textId="77777777" w:rsidR="00F04A9C" w:rsidRDefault="00F04A9C" w:rsidP="00F04A9C"/>
    <w:p w14:paraId="4B628683" w14:textId="2BE6DC54" w:rsidR="00177453" w:rsidRDefault="00E90746" w:rsidP="00587CAC">
      <w:pPr>
        <w:pStyle w:val="Odstavekseznama"/>
        <w:numPr>
          <w:ilvl w:val="2"/>
          <w:numId w:val="31"/>
        </w:numPr>
      </w:pPr>
      <w:r>
        <w:t>Are there</w:t>
      </w:r>
      <w:r w:rsidR="00177453">
        <w:t xml:space="preserve"> any suggestions for reformulation/specification of the </w:t>
      </w:r>
      <w:r w:rsidR="00D6099B">
        <w:t>A</w:t>
      </w:r>
      <w:r w:rsidR="00177453">
        <w:t xml:space="preserve">ctions provided in the initial </w:t>
      </w:r>
      <w:r w:rsidR="00EB6BE7">
        <w:t>policy</w:t>
      </w:r>
      <w:r w:rsidR="00177453">
        <w:t xml:space="preserve"> paper</w:t>
      </w:r>
      <w:r w:rsidR="00BE4898">
        <w:t>?</w:t>
      </w:r>
    </w:p>
    <w:p w14:paraId="15556335" w14:textId="77777777" w:rsidR="003B082E" w:rsidRDefault="003B082E" w:rsidP="00780D04">
      <w:pPr>
        <w:pStyle w:val="Odstavekseznama"/>
      </w:pPr>
    </w:p>
    <w:tbl>
      <w:tblPr>
        <w:tblStyle w:val="Tabelamrea"/>
        <w:tblW w:w="0" w:type="auto"/>
        <w:tblInd w:w="720" w:type="dxa"/>
        <w:tblLook w:val="04A0" w:firstRow="1" w:lastRow="0" w:firstColumn="1" w:lastColumn="0" w:noHBand="0" w:noVBand="1"/>
      </w:tblPr>
      <w:tblGrid>
        <w:gridCol w:w="8342"/>
      </w:tblGrid>
      <w:tr w:rsidR="00F04A9C" w14:paraId="7250228B" w14:textId="77777777" w:rsidTr="00BC5D33">
        <w:tc>
          <w:tcPr>
            <w:tcW w:w="9062" w:type="dxa"/>
          </w:tcPr>
          <w:p w14:paraId="3AA1F566" w14:textId="77777777" w:rsidR="00F04A9C" w:rsidRDefault="00F04A9C" w:rsidP="00F04A9C">
            <w:pPr>
              <w:pStyle w:val="Odstavekseznama"/>
              <w:ind w:left="360"/>
            </w:pPr>
          </w:p>
        </w:tc>
      </w:tr>
    </w:tbl>
    <w:p w14:paraId="081577CF" w14:textId="77777777" w:rsidR="00F04A9C" w:rsidRDefault="00F04A9C" w:rsidP="00587CAC"/>
    <w:p w14:paraId="295BBF22" w14:textId="02582B9C" w:rsidR="00871E90" w:rsidRDefault="00E90746" w:rsidP="00587CAC">
      <w:pPr>
        <w:pStyle w:val="Odstavekseznama"/>
        <w:numPr>
          <w:ilvl w:val="2"/>
          <w:numId w:val="31"/>
        </w:numPr>
      </w:pPr>
      <w:r>
        <w:t>Are there</w:t>
      </w:r>
      <w:r w:rsidR="00871E90">
        <w:t xml:space="preserve"> any additional ideas </w:t>
      </w:r>
      <w:r w:rsidR="00AE3BE2">
        <w:t>for Actions to address the</w:t>
      </w:r>
      <w:r w:rsidR="00081640">
        <w:t xml:space="preserve"> listed challenges </w:t>
      </w:r>
      <w:r w:rsidR="008A4F7F">
        <w:t>by</w:t>
      </w:r>
      <w:r w:rsidR="00081640">
        <w:t xml:space="preserve"> the EUSAIR </w:t>
      </w:r>
      <w:r w:rsidR="00871E90" w:rsidRPr="00E32BD2">
        <w:t xml:space="preserve">concerning the thematic field of </w:t>
      </w:r>
      <w:r w:rsidR="00871E90" w:rsidRPr="00F7467F">
        <w:t>Topic 1</w:t>
      </w:r>
      <w:r w:rsidR="00BE4898">
        <w:t>?</w:t>
      </w:r>
      <w:r w:rsidR="00871E90">
        <w:t xml:space="preserve"> </w:t>
      </w:r>
      <w:r w:rsidR="00081640">
        <w:t xml:space="preserve">Please remain </w:t>
      </w:r>
      <w:r w:rsidR="00A72AA7">
        <w:t>within</w:t>
      </w:r>
      <w:r w:rsidR="00081640">
        <w:t xml:space="preserve"> the parameters of macro-regional relevance</w:t>
      </w:r>
      <w:r w:rsidR="00A72AA7">
        <w:t>, EU policies compliance</w:t>
      </w:r>
      <w:r w:rsidR="00081640">
        <w:t xml:space="preserve"> and EUSAIR territory</w:t>
      </w:r>
      <w:r w:rsidR="00A72AA7">
        <w:t xml:space="preserve"> and scope</w:t>
      </w:r>
      <w:r w:rsidR="00871E90">
        <w:t xml:space="preserve">.  </w:t>
      </w:r>
    </w:p>
    <w:p w14:paraId="738A0C48" w14:textId="77777777" w:rsidR="003B082E" w:rsidRDefault="003B082E" w:rsidP="00780D04">
      <w:pPr>
        <w:pStyle w:val="Odstavekseznama"/>
      </w:pPr>
    </w:p>
    <w:tbl>
      <w:tblPr>
        <w:tblStyle w:val="Tabelamrea"/>
        <w:tblW w:w="0" w:type="auto"/>
        <w:tblInd w:w="720" w:type="dxa"/>
        <w:tblLook w:val="04A0" w:firstRow="1" w:lastRow="0" w:firstColumn="1" w:lastColumn="0" w:noHBand="0" w:noVBand="1"/>
      </w:tblPr>
      <w:tblGrid>
        <w:gridCol w:w="8342"/>
      </w:tblGrid>
      <w:tr w:rsidR="00F04A9C" w14:paraId="442A336C" w14:textId="77777777" w:rsidTr="00BC5D33">
        <w:tc>
          <w:tcPr>
            <w:tcW w:w="9062" w:type="dxa"/>
          </w:tcPr>
          <w:p w14:paraId="41285AA5" w14:textId="77777777" w:rsidR="00F04A9C" w:rsidRDefault="00F04A9C" w:rsidP="00F04A9C">
            <w:pPr>
              <w:pStyle w:val="Odstavekseznama"/>
              <w:ind w:left="360"/>
            </w:pPr>
          </w:p>
        </w:tc>
      </w:tr>
    </w:tbl>
    <w:p w14:paraId="22039B04" w14:textId="51D933C4" w:rsidR="00F04A9C" w:rsidRDefault="00F04A9C" w:rsidP="00F04A9C">
      <w:pPr>
        <w:pStyle w:val="Odstavekseznama"/>
      </w:pPr>
    </w:p>
    <w:p w14:paraId="7CB8E640" w14:textId="77777777" w:rsidR="00747C6C" w:rsidRDefault="00747C6C" w:rsidP="00587CAC"/>
    <w:p w14:paraId="30711266" w14:textId="24AF0B0A" w:rsidR="00F04A9C" w:rsidRPr="003470D7" w:rsidRDefault="00F04A9C" w:rsidP="00352F52">
      <w:pPr>
        <w:pStyle w:val="Naslov2"/>
        <w:numPr>
          <w:ilvl w:val="0"/>
          <w:numId w:val="46"/>
        </w:numPr>
        <w:rPr>
          <w:rStyle w:val="Naslov2Znak"/>
        </w:rPr>
      </w:pPr>
      <w:r w:rsidRPr="00E32BD2">
        <w:rPr>
          <w:rStyle w:val="Naslov2Znak"/>
        </w:rPr>
        <w:t xml:space="preserve">Topic </w:t>
      </w:r>
      <w:r>
        <w:rPr>
          <w:rStyle w:val="Naslov2Znak"/>
        </w:rPr>
        <w:t>2</w:t>
      </w:r>
      <w:r w:rsidR="003470D7" w:rsidRPr="00780D04">
        <w:rPr>
          <w:rStyle w:val="Naslov2Znak"/>
        </w:rPr>
        <w:t xml:space="preserve">: </w:t>
      </w:r>
      <w:bookmarkStart w:id="3" w:name="_Hlk117254040"/>
      <w:r w:rsidR="006705A9">
        <w:rPr>
          <w:rStyle w:val="Naslov2Znak"/>
        </w:rPr>
        <w:t>Green Energy</w:t>
      </w:r>
      <w:r w:rsidRPr="003470D7">
        <w:rPr>
          <w:rStyle w:val="Naslov2Znak"/>
        </w:rPr>
        <w:t xml:space="preserve">  </w:t>
      </w:r>
      <w:bookmarkEnd w:id="3"/>
    </w:p>
    <w:p w14:paraId="7CDBA134" w14:textId="77777777" w:rsidR="00F04A9C" w:rsidRPr="00E32BD2" w:rsidRDefault="00F04A9C" w:rsidP="00F04A9C"/>
    <w:p w14:paraId="666D24A7" w14:textId="6A4743CA" w:rsidR="00723BA0" w:rsidRDefault="00F04A9C" w:rsidP="00723BA0">
      <w:pPr>
        <w:pStyle w:val="Naslov3"/>
        <w:numPr>
          <w:ilvl w:val="1"/>
          <w:numId w:val="20"/>
        </w:numPr>
      </w:pPr>
      <w:r>
        <w:t>Challenges</w:t>
      </w:r>
    </w:p>
    <w:p w14:paraId="3E39E413" w14:textId="77777777" w:rsidR="00723BA0" w:rsidRPr="00C93279" w:rsidRDefault="00723BA0" w:rsidP="00780D04"/>
    <w:p w14:paraId="752AE1E3" w14:textId="46B157A1" w:rsidR="00E90746" w:rsidRPr="00E90746" w:rsidRDefault="008A4F7F" w:rsidP="00780D04">
      <w:pPr>
        <w:pStyle w:val="Odstavekseznama"/>
        <w:numPr>
          <w:ilvl w:val="2"/>
          <w:numId w:val="24"/>
        </w:numPr>
      </w:pPr>
      <w:r w:rsidRPr="008A4F7F">
        <w:t xml:space="preserve">Please </w:t>
      </w:r>
      <w:r w:rsidRPr="00780D04">
        <w:rPr>
          <w:b/>
          <w:bCs/>
        </w:rPr>
        <w:t>prioritise the challenges</w:t>
      </w:r>
      <w:r w:rsidRPr="008A4F7F">
        <w:t xml:space="preserve"> provided in the initial policy paper to reflect how relevant they are as regards the added value of being tackled by EUSAIR. </w:t>
      </w:r>
      <w:r w:rsidR="00E90746" w:rsidRPr="00723BA0">
        <w:rPr>
          <w:i/>
          <w:iCs/>
          <w:highlight w:val="yellow"/>
        </w:rPr>
        <w:t>(1 being the most important, other follow in the numerical order)</w:t>
      </w:r>
    </w:p>
    <w:p w14:paraId="7D01DEA0" w14:textId="77777777" w:rsidR="00E90746" w:rsidRDefault="00E90746" w:rsidP="00E90746">
      <w:pPr>
        <w:pStyle w:val="Odstavekseznama"/>
      </w:pPr>
    </w:p>
    <w:p w14:paraId="08B23EF8" w14:textId="4DBD566F" w:rsidR="00017CBB" w:rsidRPr="00780D04" w:rsidRDefault="00017CBB" w:rsidP="00E90746">
      <w:pPr>
        <w:pStyle w:val="Odstavekseznama"/>
        <w:rPr>
          <w:i/>
          <w:iCs/>
          <w:sz w:val="20"/>
          <w:szCs w:val="20"/>
        </w:rPr>
      </w:pPr>
      <w:r w:rsidRPr="00780D04">
        <w:rPr>
          <w:i/>
          <w:iCs/>
          <w:sz w:val="20"/>
          <w:szCs w:val="20"/>
        </w:rPr>
        <w:t>In the A</w:t>
      </w:r>
      <w:r w:rsidR="00C93279">
        <w:rPr>
          <w:i/>
          <w:iCs/>
          <w:sz w:val="20"/>
          <w:szCs w:val="20"/>
        </w:rPr>
        <w:t>driatic-Ionian R</w:t>
      </w:r>
      <w:r w:rsidRPr="00780D04">
        <w:rPr>
          <w:i/>
          <w:iCs/>
          <w:sz w:val="20"/>
          <w:szCs w:val="20"/>
        </w:rPr>
        <w:t>egion there is</w:t>
      </w:r>
      <w:r w:rsidR="00A375A8" w:rsidRPr="00780D04">
        <w:rPr>
          <w:i/>
          <w:iCs/>
          <w:sz w:val="20"/>
          <w:szCs w:val="20"/>
        </w:rPr>
        <w:t>:</w:t>
      </w:r>
    </w:p>
    <w:tbl>
      <w:tblPr>
        <w:tblStyle w:val="Tabelamrea"/>
        <w:tblW w:w="0" w:type="auto"/>
        <w:tblInd w:w="720" w:type="dxa"/>
        <w:tblLook w:val="04A0" w:firstRow="1" w:lastRow="0" w:firstColumn="1" w:lastColumn="0" w:noHBand="0" w:noVBand="1"/>
      </w:tblPr>
      <w:tblGrid>
        <w:gridCol w:w="409"/>
        <w:gridCol w:w="7933"/>
      </w:tblGrid>
      <w:tr w:rsidR="00DD5169" w:rsidRPr="008A4F7F" w14:paraId="3AF17BAA" w14:textId="77777777" w:rsidTr="00017CBB">
        <w:tc>
          <w:tcPr>
            <w:tcW w:w="409" w:type="dxa"/>
          </w:tcPr>
          <w:p w14:paraId="1828A3D7" w14:textId="77777777" w:rsidR="00DD5169" w:rsidRPr="00780D04" w:rsidRDefault="00DD5169" w:rsidP="00017CBB">
            <w:pPr>
              <w:pStyle w:val="Odstavekseznama"/>
              <w:ind w:left="202"/>
              <w:rPr>
                <w:i/>
                <w:iCs/>
                <w:sz w:val="20"/>
                <w:szCs w:val="20"/>
              </w:rPr>
            </w:pPr>
          </w:p>
        </w:tc>
        <w:tc>
          <w:tcPr>
            <w:tcW w:w="7933" w:type="dxa"/>
          </w:tcPr>
          <w:p w14:paraId="6A2224FA" w14:textId="3F299BE9" w:rsidR="00DD5169" w:rsidRPr="00587CAC" w:rsidRDefault="00DD5169">
            <w:pPr>
              <w:rPr>
                <w:i/>
                <w:iCs/>
                <w:sz w:val="20"/>
                <w:szCs w:val="20"/>
              </w:rPr>
            </w:pPr>
            <w:r w:rsidRPr="00DD5169">
              <w:rPr>
                <w:i/>
                <w:iCs/>
                <w:sz w:val="20"/>
                <w:szCs w:val="20"/>
              </w:rPr>
              <w:t>Overwhelming challenges of confronting climate change and reducing greenhouse gas emissions toward a net-zero carbon economy (or energy system). The must is how to decarbonise the energy system.</w:t>
            </w:r>
          </w:p>
        </w:tc>
      </w:tr>
      <w:tr w:rsidR="00017CBB" w:rsidRPr="008A4F7F" w14:paraId="423E304B" w14:textId="77777777" w:rsidTr="00017CBB">
        <w:tc>
          <w:tcPr>
            <w:tcW w:w="409" w:type="dxa"/>
          </w:tcPr>
          <w:p w14:paraId="2B11DCFB" w14:textId="77777777" w:rsidR="00017CBB" w:rsidRPr="00780D04" w:rsidRDefault="00017CBB" w:rsidP="00017CBB">
            <w:pPr>
              <w:pStyle w:val="Odstavekseznama"/>
              <w:ind w:left="202"/>
              <w:rPr>
                <w:i/>
                <w:iCs/>
                <w:sz w:val="20"/>
                <w:szCs w:val="20"/>
              </w:rPr>
            </w:pPr>
          </w:p>
        </w:tc>
        <w:tc>
          <w:tcPr>
            <w:tcW w:w="7933" w:type="dxa"/>
          </w:tcPr>
          <w:p w14:paraId="550F2D00" w14:textId="73A9C9F8" w:rsidR="00017CBB" w:rsidRPr="00587CAC" w:rsidRDefault="000162F7">
            <w:pPr>
              <w:rPr>
                <w:i/>
                <w:iCs/>
                <w:sz w:val="20"/>
                <w:szCs w:val="20"/>
              </w:rPr>
            </w:pPr>
            <w:r w:rsidRPr="00587CAC">
              <w:rPr>
                <w:i/>
                <w:iCs/>
                <w:sz w:val="20"/>
                <w:szCs w:val="20"/>
              </w:rPr>
              <w:t>The region is promising in terms of potential electricity generation from RES technologies. More specifically, centraliz</w:t>
            </w:r>
            <w:r w:rsidR="002111EF" w:rsidRPr="00587CAC">
              <w:rPr>
                <w:i/>
                <w:iCs/>
                <w:sz w:val="20"/>
                <w:szCs w:val="20"/>
              </w:rPr>
              <w:t>ed</w:t>
            </w:r>
            <w:r w:rsidRPr="00587CAC">
              <w:rPr>
                <w:i/>
                <w:iCs/>
                <w:sz w:val="20"/>
                <w:szCs w:val="20"/>
              </w:rPr>
              <w:t xml:space="preserve"> and </w:t>
            </w:r>
            <w:r w:rsidR="002111EF" w:rsidRPr="00587CAC">
              <w:rPr>
                <w:i/>
                <w:iCs/>
                <w:sz w:val="20"/>
                <w:szCs w:val="20"/>
              </w:rPr>
              <w:t>d</w:t>
            </w:r>
            <w:r w:rsidRPr="00587CAC">
              <w:rPr>
                <w:i/>
                <w:iCs/>
                <w:sz w:val="20"/>
                <w:szCs w:val="20"/>
              </w:rPr>
              <w:t>ecentralized solar PV, as well as onshore wind are expected to make up the lion’s share in the future electricity mix across the region.</w:t>
            </w:r>
            <w:r w:rsidRPr="00587CAC" w:rsidDel="000162F7">
              <w:rPr>
                <w:i/>
                <w:iCs/>
                <w:sz w:val="20"/>
                <w:szCs w:val="20"/>
              </w:rPr>
              <w:t xml:space="preserve"> </w:t>
            </w:r>
          </w:p>
        </w:tc>
      </w:tr>
      <w:tr w:rsidR="00017CBB" w:rsidRPr="008A4F7F" w14:paraId="2CF21DB2" w14:textId="77777777" w:rsidTr="00017CBB">
        <w:tc>
          <w:tcPr>
            <w:tcW w:w="409" w:type="dxa"/>
          </w:tcPr>
          <w:p w14:paraId="5C1603F7" w14:textId="77777777" w:rsidR="00017CBB" w:rsidRPr="00780D04" w:rsidRDefault="00017CBB" w:rsidP="00017CBB">
            <w:pPr>
              <w:pStyle w:val="Odstavekseznama"/>
              <w:ind w:left="202"/>
              <w:rPr>
                <w:i/>
                <w:iCs/>
                <w:sz w:val="20"/>
                <w:szCs w:val="20"/>
              </w:rPr>
            </w:pPr>
          </w:p>
        </w:tc>
        <w:tc>
          <w:tcPr>
            <w:tcW w:w="7933" w:type="dxa"/>
          </w:tcPr>
          <w:p w14:paraId="53A2F086" w14:textId="0FE800DC" w:rsidR="00017CBB" w:rsidRPr="00587CAC" w:rsidRDefault="00DB5BD0">
            <w:pPr>
              <w:rPr>
                <w:i/>
                <w:iCs/>
                <w:sz w:val="20"/>
                <w:szCs w:val="20"/>
              </w:rPr>
            </w:pPr>
            <w:r w:rsidRPr="00587CAC">
              <w:rPr>
                <w:i/>
                <w:iCs/>
                <w:sz w:val="20"/>
                <w:szCs w:val="20"/>
              </w:rPr>
              <w:t>Furthermore, the economies of the region – in several cases with significantly lower GDP per capita than the EU average – could be a very attractive target for international investors in the green energy sector, provided that transparent and reliable regulatory frameworks are in place.</w:t>
            </w:r>
            <w:r w:rsidRPr="00587CAC" w:rsidDel="00DB5BD0">
              <w:rPr>
                <w:i/>
                <w:iCs/>
                <w:sz w:val="20"/>
                <w:szCs w:val="20"/>
              </w:rPr>
              <w:t xml:space="preserve"> </w:t>
            </w:r>
          </w:p>
        </w:tc>
      </w:tr>
      <w:tr w:rsidR="00017CBB" w:rsidRPr="008A4F7F" w14:paraId="2EED192B" w14:textId="77777777" w:rsidTr="00017CBB">
        <w:tc>
          <w:tcPr>
            <w:tcW w:w="409" w:type="dxa"/>
          </w:tcPr>
          <w:p w14:paraId="1E1749F8" w14:textId="77777777" w:rsidR="00017CBB" w:rsidRPr="00780D04" w:rsidRDefault="00017CBB" w:rsidP="00017CBB">
            <w:pPr>
              <w:pStyle w:val="Odstavekseznama"/>
              <w:ind w:left="202"/>
              <w:rPr>
                <w:i/>
                <w:iCs/>
                <w:sz w:val="20"/>
                <w:szCs w:val="20"/>
              </w:rPr>
            </w:pPr>
          </w:p>
        </w:tc>
        <w:tc>
          <w:tcPr>
            <w:tcW w:w="7933" w:type="dxa"/>
          </w:tcPr>
          <w:p w14:paraId="7E7D7B38" w14:textId="06E41DBD" w:rsidR="00017CBB" w:rsidRPr="00587CAC" w:rsidRDefault="00871457">
            <w:pPr>
              <w:rPr>
                <w:i/>
                <w:iCs/>
                <w:sz w:val="20"/>
                <w:szCs w:val="20"/>
              </w:rPr>
            </w:pPr>
            <w:r w:rsidRPr="00587CAC">
              <w:rPr>
                <w:i/>
                <w:iCs/>
                <w:sz w:val="20"/>
                <w:szCs w:val="20"/>
              </w:rPr>
              <w:t>Making the transition to a renewables-based energy supply driven by domestic resources can enable countries to capture increasing shares of the energy value added chain within the region, progressively build domestic technological capacity and turn the energy system into a driver of clean economic growth, rather than a burden on public budgets.</w:t>
            </w:r>
            <w:r w:rsidRPr="00587CAC" w:rsidDel="00871457">
              <w:rPr>
                <w:i/>
                <w:iCs/>
                <w:sz w:val="20"/>
                <w:szCs w:val="20"/>
              </w:rPr>
              <w:t xml:space="preserve"> </w:t>
            </w:r>
          </w:p>
        </w:tc>
      </w:tr>
      <w:tr w:rsidR="00017CBB" w:rsidRPr="008A4F7F" w14:paraId="01912657" w14:textId="77777777" w:rsidTr="00017CBB">
        <w:tc>
          <w:tcPr>
            <w:tcW w:w="409" w:type="dxa"/>
          </w:tcPr>
          <w:p w14:paraId="78605052" w14:textId="77777777" w:rsidR="00017CBB" w:rsidRPr="00780D04" w:rsidRDefault="00017CBB" w:rsidP="00017CBB">
            <w:pPr>
              <w:pStyle w:val="Odstavekseznama"/>
              <w:ind w:left="202"/>
              <w:rPr>
                <w:i/>
                <w:iCs/>
                <w:sz w:val="20"/>
                <w:szCs w:val="20"/>
              </w:rPr>
            </w:pPr>
          </w:p>
        </w:tc>
        <w:tc>
          <w:tcPr>
            <w:tcW w:w="7933" w:type="dxa"/>
          </w:tcPr>
          <w:p w14:paraId="21F65114" w14:textId="07358E4F" w:rsidR="00017CBB" w:rsidRPr="00587CAC" w:rsidRDefault="00D84506">
            <w:pPr>
              <w:rPr>
                <w:i/>
                <w:iCs/>
                <w:sz w:val="20"/>
                <w:szCs w:val="20"/>
              </w:rPr>
            </w:pPr>
            <w:r w:rsidRPr="00587CAC">
              <w:rPr>
                <w:i/>
                <w:iCs/>
                <w:sz w:val="20"/>
                <w:szCs w:val="20"/>
              </w:rPr>
              <w:t>Furthermore, accelerating the deployment of renewables in the region is a cost-effective strategy to reduce dependency on energy imports and improve the security of supply. At the same time, a shift to electrification of heat with renewables can avoid further investments in redundant gas infrastructure, which would be at high risk of becoming stranded if the region is to meet the goals of the Paris Agreement.</w:t>
            </w:r>
          </w:p>
        </w:tc>
      </w:tr>
      <w:tr w:rsidR="000162F7" w:rsidRPr="008A4F7F" w14:paraId="5FB5E723" w14:textId="77777777" w:rsidTr="00017CBB">
        <w:tc>
          <w:tcPr>
            <w:tcW w:w="409" w:type="dxa"/>
          </w:tcPr>
          <w:p w14:paraId="7E3FE3EF" w14:textId="77777777" w:rsidR="000162F7" w:rsidRPr="008A4F7F" w:rsidRDefault="000162F7" w:rsidP="00017CBB">
            <w:pPr>
              <w:pStyle w:val="Odstavekseznama"/>
              <w:ind w:left="202"/>
              <w:rPr>
                <w:i/>
                <w:iCs/>
                <w:sz w:val="20"/>
                <w:szCs w:val="20"/>
              </w:rPr>
            </w:pPr>
          </w:p>
        </w:tc>
        <w:tc>
          <w:tcPr>
            <w:tcW w:w="7933" w:type="dxa"/>
          </w:tcPr>
          <w:p w14:paraId="741834FE" w14:textId="14D8BA44" w:rsidR="000162F7" w:rsidRPr="00587CAC" w:rsidRDefault="00D84506">
            <w:pPr>
              <w:rPr>
                <w:i/>
                <w:iCs/>
                <w:sz w:val="20"/>
                <w:szCs w:val="20"/>
              </w:rPr>
            </w:pPr>
            <w:r w:rsidRPr="00587CAC">
              <w:rPr>
                <w:i/>
                <w:iCs/>
                <w:sz w:val="20"/>
                <w:szCs w:val="20"/>
              </w:rPr>
              <w:t>Regulatory (complex, lengthy administrative procedures, integration in spatial plans, inefficient coordination of RES regulations between countries), political (political instability), financial (fossil fuel subsidies, investment security), technical (grid integration restrictions, lack of functional power exchanges), socio-economic and environmental barriers to RES deployment</w:t>
            </w:r>
          </w:p>
        </w:tc>
      </w:tr>
      <w:tr w:rsidR="000162F7" w:rsidRPr="008A4F7F" w14:paraId="377EF7C8" w14:textId="77777777" w:rsidTr="00017CBB">
        <w:tc>
          <w:tcPr>
            <w:tcW w:w="409" w:type="dxa"/>
          </w:tcPr>
          <w:p w14:paraId="60711516" w14:textId="77777777" w:rsidR="000162F7" w:rsidRPr="008A4F7F" w:rsidRDefault="000162F7" w:rsidP="00017CBB">
            <w:pPr>
              <w:pStyle w:val="Odstavekseznama"/>
              <w:ind w:left="202"/>
              <w:rPr>
                <w:i/>
                <w:iCs/>
                <w:sz w:val="20"/>
                <w:szCs w:val="20"/>
              </w:rPr>
            </w:pPr>
          </w:p>
        </w:tc>
        <w:tc>
          <w:tcPr>
            <w:tcW w:w="7933" w:type="dxa"/>
          </w:tcPr>
          <w:p w14:paraId="6D42D1FE" w14:textId="337820E8" w:rsidR="000162F7" w:rsidRPr="00587CAC" w:rsidRDefault="00EC5C34">
            <w:pPr>
              <w:rPr>
                <w:i/>
                <w:iCs/>
                <w:sz w:val="20"/>
                <w:szCs w:val="20"/>
              </w:rPr>
            </w:pPr>
            <w:r w:rsidRPr="00587CAC">
              <w:rPr>
                <w:i/>
                <w:iCs/>
                <w:sz w:val="20"/>
                <w:szCs w:val="20"/>
              </w:rPr>
              <w:t xml:space="preserve">High share of CO2 emissions from power and heat sector per GDP unit in WB. </w:t>
            </w:r>
          </w:p>
        </w:tc>
      </w:tr>
      <w:tr w:rsidR="000162F7" w:rsidRPr="008A4F7F" w14:paraId="38DC1977" w14:textId="77777777" w:rsidTr="00017CBB">
        <w:tc>
          <w:tcPr>
            <w:tcW w:w="409" w:type="dxa"/>
          </w:tcPr>
          <w:p w14:paraId="1CF48CE6" w14:textId="77777777" w:rsidR="000162F7" w:rsidRPr="008A4F7F" w:rsidRDefault="000162F7" w:rsidP="00017CBB">
            <w:pPr>
              <w:pStyle w:val="Odstavekseznama"/>
              <w:ind w:left="202"/>
              <w:rPr>
                <w:i/>
                <w:iCs/>
                <w:sz w:val="20"/>
                <w:szCs w:val="20"/>
              </w:rPr>
            </w:pPr>
          </w:p>
        </w:tc>
        <w:tc>
          <w:tcPr>
            <w:tcW w:w="7933" w:type="dxa"/>
          </w:tcPr>
          <w:p w14:paraId="6CCE13D7" w14:textId="48062A8E" w:rsidR="000162F7" w:rsidRPr="00587CAC" w:rsidRDefault="00AB197A">
            <w:pPr>
              <w:rPr>
                <w:i/>
                <w:iCs/>
                <w:sz w:val="20"/>
                <w:szCs w:val="20"/>
              </w:rPr>
            </w:pPr>
            <w:r w:rsidRPr="00587CAC">
              <w:rPr>
                <w:i/>
                <w:iCs/>
                <w:sz w:val="20"/>
                <w:szCs w:val="20"/>
              </w:rPr>
              <w:t>High dependency of energy sectors on fossil fuels (i.e. lignite) and hydropower (climate change effects, potential conflicts with Water Framework and Habitats Directives</w:t>
            </w:r>
          </w:p>
        </w:tc>
      </w:tr>
      <w:tr w:rsidR="000162F7" w:rsidRPr="008A4F7F" w14:paraId="5A128A37" w14:textId="77777777" w:rsidTr="00017CBB">
        <w:tc>
          <w:tcPr>
            <w:tcW w:w="409" w:type="dxa"/>
          </w:tcPr>
          <w:p w14:paraId="6EC9B588" w14:textId="77777777" w:rsidR="000162F7" w:rsidRPr="008A4F7F" w:rsidRDefault="000162F7" w:rsidP="00017CBB">
            <w:pPr>
              <w:pStyle w:val="Odstavekseznama"/>
              <w:ind w:left="202"/>
              <w:rPr>
                <w:i/>
                <w:iCs/>
                <w:sz w:val="20"/>
                <w:szCs w:val="20"/>
              </w:rPr>
            </w:pPr>
          </w:p>
        </w:tc>
        <w:tc>
          <w:tcPr>
            <w:tcW w:w="7933" w:type="dxa"/>
          </w:tcPr>
          <w:p w14:paraId="4B46114D" w14:textId="371A935D" w:rsidR="000162F7" w:rsidRPr="00587CAC" w:rsidRDefault="00D4767E" w:rsidP="00017CBB">
            <w:pPr>
              <w:rPr>
                <w:i/>
                <w:iCs/>
                <w:sz w:val="20"/>
                <w:szCs w:val="20"/>
              </w:rPr>
            </w:pPr>
            <w:r w:rsidRPr="00587CAC">
              <w:rPr>
                <w:i/>
                <w:iCs/>
                <w:sz w:val="20"/>
                <w:szCs w:val="20"/>
              </w:rPr>
              <w:t>Missing macro-regional data on energy efficiency.</w:t>
            </w:r>
          </w:p>
        </w:tc>
      </w:tr>
    </w:tbl>
    <w:p w14:paraId="01B8DE3C" w14:textId="77777777" w:rsidR="009C5576" w:rsidRDefault="009C5576" w:rsidP="00017CBB"/>
    <w:p w14:paraId="40422266" w14:textId="11EE4DE2" w:rsidR="00F04A9C" w:rsidRDefault="00BE4898" w:rsidP="001C0CDF">
      <w:pPr>
        <w:pStyle w:val="Odstavekseznama"/>
        <w:numPr>
          <w:ilvl w:val="2"/>
          <w:numId w:val="24"/>
        </w:numPr>
      </w:pPr>
      <w:r>
        <w:t>Are there</w:t>
      </w:r>
      <w:r w:rsidR="00F04A9C">
        <w:t xml:space="preserve"> any suggestions for reformulation/specification of the challenges provided in the initial </w:t>
      </w:r>
      <w:r w:rsidR="00EB6BE7">
        <w:t>policy</w:t>
      </w:r>
      <w:r w:rsidR="00F04A9C">
        <w:t xml:space="preserve"> paper</w:t>
      </w:r>
      <w:r>
        <w:t xml:space="preserve"> to </w:t>
      </w:r>
      <w:r w:rsidR="00AE3BE2">
        <w:t xml:space="preserve">better </w:t>
      </w:r>
      <w:r>
        <w:t xml:space="preserve">reflect </w:t>
      </w:r>
      <w:r w:rsidR="001C0CDF">
        <w:t xml:space="preserve">the situation in Adriatic-Ionian Region? </w:t>
      </w:r>
    </w:p>
    <w:p w14:paraId="114C7DDE" w14:textId="77777777" w:rsidR="003B082E" w:rsidRDefault="003B082E" w:rsidP="00780D04">
      <w:pPr>
        <w:pStyle w:val="Odstavekseznama"/>
      </w:pPr>
    </w:p>
    <w:tbl>
      <w:tblPr>
        <w:tblStyle w:val="Tabelamrea"/>
        <w:tblW w:w="0" w:type="auto"/>
        <w:tblInd w:w="720" w:type="dxa"/>
        <w:tblLook w:val="04A0" w:firstRow="1" w:lastRow="0" w:firstColumn="1" w:lastColumn="0" w:noHBand="0" w:noVBand="1"/>
      </w:tblPr>
      <w:tblGrid>
        <w:gridCol w:w="8342"/>
      </w:tblGrid>
      <w:tr w:rsidR="00F04A9C" w14:paraId="4893B6AE" w14:textId="77777777" w:rsidTr="00BC5D33">
        <w:tc>
          <w:tcPr>
            <w:tcW w:w="9062" w:type="dxa"/>
          </w:tcPr>
          <w:p w14:paraId="442E8AE8" w14:textId="5B5813D6" w:rsidR="00F04A9C" w:rsidRDefault="00F04A9C" w:rsidP="00BC5D33">
            <w:pPr>
              <w:pStyle w:val="Odstavekseznama"/>
              <w:ind w:left="0"/>
            </w:pPr>
          </w:p>
        </w:tc>
      </w:tr>
    </w:tbl>
    <w:p w14:paraId="37EDDC99" w14:textId="77777777" w:rsidR="001F1D2B" w:rsidRDefault="001F1D2B" w:rsidP="00F04A9C"/>
    <w:p w14:paraId="5D25BAA8" w14:textId="284E51A1" w:rsidR="00F04A9C" w:rsidRDefault="00F04A9C" w:rsidP="00723BA0">
      <w:pPr>
        <w:pStyle w:val="Odstavekseznama"/>
        <w:numPr>
          <w:ilvl w:val="2"/>
          <w:numId w:val="24"/>
        </w:numPr>
      </w:pPr>
      <w:r w:rsidRPr="00E32BD2">
        <w:t>Is there another challenge</w:t>
      </w:r>
      <w:r w:rsidR="00C93279">
        <w:t xml:space="preserve"> concerning the thematic field of </w:t>
      </w:r>
      <w:r w:rsidR="00C93279" w:rsidRPr="00587CAC">
        <w:rPr>
          <w:i/>
          <w:iCs/>
        </w:rPr>
        <w:t xml:space="preserve">Topic 2: </w:t>
      </w:r>
      <w:r w:rsidR="00587CAC" w:rsidRPr="00587CAC">
        <w:rPr>
          <w:i/>
          <w:iCs/>
        </w:rPr>
        <w:t>Green Energy</w:t>
      </w:r>
      <w:r w:rsidR="00587CAC" w:rsidRPr="00587CAC">
        <w:t xml:space="preserve">  </w:t>
      </w:r>
      <w:r w:rsidR="00C93279">
        <w:t xml:space="preserve">for which you see an added value of being addressed at EUSAIR level? The challenge </w:t>
      </w:r>
      <w:r>
        <w:t xml:space="preserve">should be specific to the EUSAIR territory and scope.  </w:t>
      </w:r>
      <w:r w:rsidRPr="00E32BD2">
        <w:t xml:space="preserve"> </w:t>
      </w:r>
    </w:p>
    <w:p w14:paraId="6BEA1CE4" w14:textId="77777777" w:rsidR="003B082E" w:rsidRDefault="003B082E" w:rsidP="00780D04">
      <w:pPr>
        <w:pStyle w:val="Odstavekseznama"/>
      </w:pPr>
    </w:p>
    <w:tbl>
      <w:tblPr>
        <w:tblStyle w:val="Tabelamrea"/>
        <w:tblW w:w="0" w:type="auto"/>
        <w:tblInd w:w="720" w:type="dxa"/>
        <w:tblLook w:val="04A0" w:firstRow="1" w:lastRow="0" w:firstColumn="1" w:lastColumn="0" w:noHBand="0" w:noVBand="1"/>
      </w:tblPr>
      <w:tblGrid>
        <w:gridCol w:w="8342"/>
      </w:tblGrid>
      <w:tr w:rsidR="00F04A9C" w14:paraId="60F8A77E" w14:textId="77777777" w:rsidTr="00BC5D33">
        <w:tc>
          <w:tcPr>
            <w:tcW w:w="9062" w:type="dxa"/>
          </w:tcPr>
          <w:p w14:paraId="0B76A084" w14:textId="77777777" w:rsidR="00F04A9C" w:rsidRDefault="00F04A9C" w:rsidP="00BC5D33">
            <w:pPr>
              <w:pStyle w:val="Odstavekseznama"/>
              <w:ind w:left="0"/>
            </w:pPr>
          </w:p>
        </w:tc>
      </w:tr>
    </w:tbl>
    <w:p w14:paraId="3E3E67D0" w14:textId="77777777" w:rsidR="00F04A9C" w:rsidRDefault="00F04A9C" w:rsidP="00F04A9C">
      <w:pPr>
        <w:pStyle w:val="Odstavekseznama"/>
      </w:pPr>
    </w:p>
    <w:p w14:paraId="4B1EA565" w14:textId="2D2174D7" w:rsidR="00F04A9C" w:rsidRDefault="00F04A9C" w:rsidP="00F04A9C">
      <w:pPr>
        <w:pStyle w:val="Odstavekseznama"/>
      </w:pPr>
    </w:p>
    <w:p w14:paraId="562AC7B8" w14:textId="77777777" w:rsidR="00FC307D" w:rsidRPr="00E32BD2" w:rsidRDefault="00FC307D" w:rsidP="00F04A9C">
      <w:pPr>
        <w:pStyle w:val="Odstavekseznama"/>
      </w:pPr>
    </w:p>
    <w:p w14:paraId="71BBE7FC" w14:textId="0D53BBCF" w:rsidR="00F04A9C" w:rsidRDefault="00F04A9C" w:rsidP="00780D04">
      <w:pPr>
        <w:pStyle w:val="Naslov3"/>
        <w:numPr>
          <w:ilvl w:val="1"/>
          <w:numId w:val="20"/>
        </w:numPr>
      </w:pPr>
      <w:r>
        <w:t>Objectives</w:t>
      </w:r>
    </w:p>
    <w:p w14:paraId="2238B819" w14:textId="77777777" w:rsidR="00C93279" w:rsidRPr="00C93279" w:rsidRDefault="00C93279" w:rsidP="00780D04"/>
    <w:p w14:paraId="4378D57D" w14:textId="5077127A" w:rsidR="00C93279" w:rsidRDefault="00C93279" w:rsidP="00C93279">
      <w:r>
        <w:t xml:space="preserve">The </w:t>
      </w:r>
      <w:r w:rsidRPr="00F24F62">
        <w:rPr>
          <w:b/>
          <w:bCs/>
        </w:rPr>
        <w:t xml:space="preserve">objective </w:t>
      </w:r>
      <w:r>
        <w:t>of the 2014 Action Plan was updated in the initial policy paper:</w:t>
      </w:r>
    </w:p>
    <w:p w14:paraId="428AF1B5" w14:textId="033AD384" w:rsidR="00DD5169" w:rsidRPr="00AA13D8" w:rsidRDefault="00DD5169" w:rsidP="00AA13D8">
      <w:pPr>
        <w:rPr>
          <w:i/>
          <w:iCs/>
          <w:sz w:val="20"/>
          <w:szCs w:val="20"/>
        </w:rPr>
      </w:pPr>
      <w:r w:rsidRPr="00AA13D8">
        <w:rPr>
          <w:i/>
          <w:iCs/>
          <w:sz w:val="20"/>
          <w:szCs w:val="20"/>
        </w:rPr>
        <w:t>To promote the transition towards decarbonised energy systems in the Adriatic-Ionian Region, confront the challenge of climate change and maintain energy security and access. Priorities are: enacting the energy goals of The EU Green Deal and the Green Agenda for Western Balkans while promoting deployment of renewable energy sources, energy efficiency, low-carbon energy options and hydrogen economy.</w:t>
      </w:r>
    </w:p>
    <w:p w14:paraId="78A55533" w14:textId="77777777" w:rsidR="003B082E" w:rsidRPr="00780D04" w:rsidRDefault="003B082E" w:rsidP="00AA13D8"/>
    <w:p w14:paraId="3B060F9C" w14:textId="2C4805F5" w:rsidR="00F04A9C" w:rsidRDefault="00C93279" w:rsidP="003B082E">
      <w:pPr>
        <w:pStyle w:val="Odstavekseznama"/>
        <w:numPr>
          <w:ilvl w:val="2"/>
          <w:numId w:val="25"/>
        </w:numPr>
      </w:pPr>
      <w:r w:rsidRPr="00C93279">
        <w:t xml:space="preserve">Are there any suggestions for its reformulation/specification? </w:t>
      </w:r>
      <w:r w:rsidR="002D314E">
        <w:t xml:space="preserve">Please, consider also the different trends in </w:t>
      </w:r>
      <w:r w:rsidR="001C0CDF">
        <w:t>energy</w:t>
      </w:r>
      <w:r w:rsidR="002D314E">
        <w:t xml:space="preserve"> policy </w:t>
      </w:r>
      <w:r w:rsidR="001C0CDF">
        <w:t xml:space="preserve">relevant for </w:t>
      </w:r>
      <w:r w:rsidR="002D314E">
        <w:t>the main objective.</w:t>
      </w:r>
    </w:p>
    <w:p w14:paraId="08069A6B" w14:textId="77777777" w:rsidR="003B082E" w:rsidRDefault="003B082E" w:rsidP="00780D04">
      <w:pPr>
        <w:pStyle w:val="Odstavekseznama"/>
      </w:pPr>
    </w:p>
    <w:tbl>
      <w:tblPr>
        <w:tblStyle w:val="Tabelamrea"/>
        <w:tblW w:w="0" w:type="auto"/>
        <w:tblInd w:w="720" w:type="dxa"/>
        <w:tblLook w:val="04A0" w:firstRow="1" w:lastRow="0" w:firstColumn="1" w:lastColumn="0" w:noHBand="0" w:noVBand="1"/>
      </w:tblPr>
      <w:tblGrid>
        <w:gridCol w:w="8342"/>
      </w:tblGrid>
      <w:tr w:rsidR="00F04A9C" w14:paraId="57C902A2" w14:textId="77777777" w:rsidTr="00BC5D33">
        <w:tc>
          <w:tcPr>
            <w:tcW w:w="9062" w:type="dxa"/>
          </w:tcPr>
          <w:p w14:paraId="7291A08C" w14:textId="77777777" w:rsidR="00F04A9C" w:rsidRDefault="00F04A9C" w:rsidP="00961B19">
            <w:pPr>
              <w:pStyle w:val="Odstavekseznama"/>
              <w:ind w:left="202"/>
            </w:pPr>
          </w:p>
        </w:tc>
      </w:tr>
    </w:tbl>
    <w:p w14:paraId="73878AB3" w14:textId="65D04078" w:rsidR="00F04A9C" w:rsidRDefault="00F04A9C" w:rsidP="002D314E"/>
    <w:p w14:paraId="6EA65C01" w14:textId="7B8277AC" w:rsidR="003B082E" w:rsidRDefault="003B082E" w:rsidP="00780D04">
      <w:r>
        <w:t xml:space="preserve">Any additional objectives will be derived from the challenges provided under point </w:t>
      </w:r>
      <w:r w:rsidR="00587CAC">
        <w:t>2</w:t>
      </w:r>
      <w:r>
        <w:t>.1.3.</w:t>
      </w:r>
    </w:p>
    <w:p w14:paraId="01463A3A" w14:textId="77777777" w:rsidR="003B082E" w:rsidRDefault="003B082E" w:rsidP="002D314E"/>
    <w:p w14:paraId="31E0E4AC" w14:textId="636549EB" w:rsidR="00F04A9C" w:rsidRDefault="00F04A9C" w:rsidP="00780D04">
      <w:pPr>
        <w:pStyle w:val="Naslov3"/>
        <w:numPr>
          <w:ilvl w:val="1"/>
          <w:numId w:val="20"/>
        </w:numPr>
      </w:pPr>
      <w:r>
        <w:t>Key stakeholders</w:t>
      </w:r>
    </w:p>
    <w:p w14:paraId="293F8A2A" w14:textId="77777777" w:rsidR="003B082E" w:rsidRPr="003B082E" w:rsidRDefault="003B082E" w:rsidP="00780D04">
      <w:pPr>
        <w:pStyle w:val="Odstavekseznama"/>
        <w:ind w:left="360"/>
      </w:pPr>
    </w:p>
    <w:p w14:paraId="66043A7B" w14:textId="48372C5A" w:rsidR="003B082E" w:rsidRDefault="003B082E" w:rsidP="003B082E">
      <w:pPr>
        <w:pStyle w:val="Odstavekseznama"/>
        <w:numPr>
          <w:ilvl w:val="2"/>
          <w:numId w:val="26"/>
        </w:numPr>
      </w:pPr>
      <w:r>
        <w:t xml:space="preserve">Which are the </w:t>
      </w:r>
      <w:r w:rsidRPr="00780D04">
        <w:t xml:space="preserve">most </w:t>
      </w:r>
      <w:r w:rsidRPr="003B082E">
        <w:rPr>
          <w:b/>
          <w:bCs/>
        </w:rPr>
        <w:t>relevant national/regional</w:t>
      </w:r>
      <w:r w:rsidRPr="00780D04">
        <w:t xml:space="preserve"> </w:t>
      </w:r>
      <w:r>
        <w:t xml:space="preserve">(e.g. national/regional institutions, agencies, others) </w:t>
      </w:r>
      <w:r w:rsidRPr="003B082E">
        <w:rPr>
          <w:b/>
          <w:bCs/>
        </w:rPr>
        <w:t>and international</w:t>
      </w:r>
      <w:r>
        <w:t xml:space="preserve"> (e.g. networks, associations, organisations, partnerships) </w:t>
      </w:r>
      <w:r w:rsidRPr="003B082E">
        <w:rPr>
          <w:b/>
          <w:bCs/>
        </w:rPr>
        <w:t>stakeholders</w:t>
      </w:r>
      <w:r>
        <w:t xml:space="preserve"> to be involved in order to reach most efficiently the objectives of the </w:t>
      </w:r>
      <w:r w:rsidRPr="006D0053">
        <w:t xml:space="preserve">Topic </w:t>
      </w:r>
      <w:r>
        <w:t>2</w:t>
      </w:r>
      <w:r w:rsidRPr="006D0053">
        <w:t xml:space="preserve">. </w:t>
      </w:r>
      <w:r>
        <w:t>(objectives provided in point 2.2.1 and additional ones derived from challenges added under point 2.1.3,  if relevant)?  Indicative international key stakeholders are already listed in the initial policy paper.</w:t>
      </w:r>
    </w:p>
    <w:p w14:paraId="07AD5084" w14:textId="77777777" w:rsidR="003B082E" w:rsidRDefault="003B082E" w:rsidP="00780D04">
      <w:pPr>
        <w:pStyle w:val="Odstavekseznama"/>
      </w:pPr>
    </w:p>
    <w:tbl>
      <w:tblPr>
        <w:tblStyle w:val="Tabelamrea"/>
        <w:tblW w:w="0" w:type="auto"/>
        <w:tblInd w:w="720" w:type="dxa"/>
        <w:tblLook w:val="04A0" w:firstRow="1" w:lastRow="0" w:firstColumn="1" w:lastColumn="0" w:noHBand="0" w:noVBand="1"/>
      </w:tblPr>
      <w:tblGrid>
        <w:gridCol w:w="551"/>
        <w:gridCol w:w="7791"/>
      </w:tblGrid>
      <w:tr w:rsidR="00FC307D" w14:paraId="7674B4B8" w14:textId="77777777" w:rsidTr="00FC307D">
        <w:tc>
          <w:tcPr>
            <w:tcW w:w="551" w:type="dxa"/>
          </w:tcPr>
          <w:p w14:paraId="5851252B" w14:textId="77777777" w:rsidR="00FC307D" w:rsidRPr="00FC307D" w:rsidRDefault="00FC307D" w:rsidP="00587CAC">
            <w:pPr>
              <w:ind w:left="194" w:hanging="142"/>
              <w:rPr>
                <w:sz w:val="20"/>
                <w:szCs w:val="20"/>
              </w:rPr>
            </w:pPr>
          </w:p>
        </w:tc>
        <w:tc>
          <w:tcPr>
            <w:tcW w:w="7791" w:type="dxa"/>
          </w:tcPr>
          <w:p w14:paraId="7FC2FD19" w14:textId="7CEAD743" w:rsidR="00FC307D" w:rsidRPr="00587CAC" w:rsidRDefault="00FC307D" w:rsidP="00587CAC">
            <w:pPr>
              <w:ind w:left="194" w:hanging="142"/>
              <w:rPr>
                <w:i/>
                <w:iCs/>
                <w:sz w:val="20"/>
                <w:szCs w:val="20"/>
              </w:rPr>
            </w:pPr>
            <w:r w:rsidRPr="00587CAC">
              <w:rPr>
                <w:i/>
                <w:iCs/>
                <w:sz w:val="20"/>
                <w:szCs w:val="20"/>
              </w:rPr>
              <w:t>European Climate, Infrastructure and Environment Executive Agency – CINEA</w:t>
            </w:r>
          </w:p>
        </w:tc>
      </w:tr>
      <w:tr w:rsidR="00FC307D" w14:paraId="15D7F193" w14:textId="77777777" w:rsidTr="00FC307D">
        <w:tc>
          <w:tcPr>
            <w:tcW w:w="551" w:type="dxa"/>
          </w:tcPr>
          <w:p w14:paraId="289D544D" w14:textId="77777777" w:rsidR="00FC307D" w:rsidRPr="00FC307D" w:rsidRDefault="00FC307D" w:rsidP="00587CAC">
            <w:pPr>
              <w:ind w:left="194" w:hanging="142"/>
              <w:rPr>
                <w:sz w:val="20"/>
                <w:szCs w:val="20"/>
              </w:rPr>
            </w:pPr>
          </w:p>
        </w:tc>
        <w:tc>
          <w:tcPr>
            <w:tcW w:w="7791" w:type="dxa"/>
          </w:tcPr>
          <w:p w14:paraId="4195407E" w14:textId="3C0BB7F7" w:rsidR="00FC307D" w:rsidRPr="00587CAC" w:rsidRDefault="00FC307D" w:rsidP="00587CAC">
            <w:pPr>
              <w:ind w:left="194" w:hanging="142"/>
              <w:rPr>
                <w:i/>
                <w:iCs/>
                <w:sz w:val="20"/>
                <w:szCs w:val="20"/>
              </w:rPr>
            </w:pPr>
            <w:r w:rsidRPr="00587CAC">
              <w:rPr>
                <w:i/>
                <w:iCs/>
                <w:sz w:val="20"/>
                <w:szCs w:val="20"/>
              </w:rPr>
              <w:t>Western Balkans Investment Framework (WBIF)</w:t>
            </w:r>
          </w:p>
        </w:tc>
      </w:tr>
      <w:tr w:rsidR="00FC307D" w14:paraId="67E35859" w14:textId="77777777" w:rsidTr="00FC307D">
        <w:tc>
          <w:tcPr>
            <w:tcW w:w="551" w:type="dxa"/>
          </w:tcPr>
          <w:p w14:paraId="45034DBD" w14:textId="77777777" w:rsidR="00FC307D" w:rsidRPr="00FC307D" w:rsidRDefault="00FC307D" w:rsidP="00587CAC">
            <w:pPr>
              <w:ind w:left="194" w:hanging="142"/>
              <w:rPr>
                <w:sz w:val="20"/>
                <w:szCs w:val="20"/>
              </w:rPr>
            </w:pPr>
          </w:p>
        </w:tc>
        <w:tc>
          <w:tcPr>
            <w:tcW w:w="7791" w:type="dxa"/>
          </w:tcPr>
          <w:p w14:paraId="12B293F8" w14:textId="36B7D215" w:rsidR="00FC307D" w:rsidRPr="00587CAC" w:rsidRDefault="00FC307D" w:rsidP="00587CAC">
            <w:pPr>
              <w:ind w:left="194" w:hanging="142"/>
              <w:rPr>
                <w:i/>
                <w:iCs/>
                <w:sz w:val="20"/>
                <w:szCs w:val="20"/>
              </w:rPr>
            </w:pPr>
            <w:r w:rsidRPr="00587CAC">
              <w:rPr>
                <w:i/>
                <w:iCs/>
                <w:sz w:val="20"/>
                <w:szCs w:val="20"/>
              </w:rPr>
              <w:t>Adriatic Ionian Euroregion</w:t>
            </w:r>
          </w:p>
        </w:tc>
      </w:tr>
      <w:tr w:rsidR="00FC307D" w14:paraId="16ECCE09" w14:textId="77777777" w:rsidTr="00FC307D">
        <w:tc>
          <w:tcPr>
            <w:tcW w:w="551" w:type="dxa"/>
          </w:tcPr>
          <w:p w14:paraId="28DC67DD" w14:textId="77777777" w:rsidR="00FC307D" w:rsidRPr="00FC307D" w:rsidRDefault="00FC307D" w:rsidP="00587CAC">
            <w:pPr>
              <w:ind w:left="194" w:hanging="142"/>
              <w:rPr>
                <w:sz w:val="20"/>
                <w:szCs w:val="20"/>
              </w:rPr>
            </w:pPr>
          </w:p>
        </w:tc>
        <w:tc>
          <w:tcPr>
            <w:tcW w:w="7791" w:type="dxa"/>
          </w:tcPr>
          <w:p w14:paraId="0AFC9500" w14:textId="30142026" w:rsidR="00FC307D" w:rsidRPr="00587CAC" w:rsidRDefault="00FC307D" w:rsidP="00587CAC">
            <w:pPr>
              <w:ind w:left="194" w:hanging="142"/>
              <w:rPr>
                <w:i/>
                <w:iCs/>
                <w:sz w:val="20"/>
                <w:szCs w:val="20"/>
              </w:rPr>
            </w:pPr>
            <w:r w:rsidRPr="00587CAC">
              <w:rPr>
                <w:i/>
                <w:iCs/>
                <w:sz w:val="20"/>
                <w:szCs w:val="20"/>
              </w:rPr>
              <w:t xml:space="preserve">Adriatic and Ionian Interregional Group at the Committee of the Regions </w:t>
            </w:r>
          </w:p>
        </w:tc>
      </w:tr>
      <w:tr w:rsidR="00FC307D" w14:paraId="0BB7C08C" w14:textId="77777777" w:rsidTr="00FC307D">
        <w:tc>
          <w:tcPr>
            <w:tcW w:w="551" w:type="dxa"/>
          </w:tcPr>
          <w:p w14:paraId="6F6285B2" w14:textId="77777777" w:rsidR="00FC307D" w:rsidRPr="00FC307D" w:rsidRDefault="00FC307D" w:rsidP="00587CAC">
            <w:pPr>
              <w:ind w:left="194" w:hanging="142"/>
              <w:rPr>
                <w:sz w:val="20"/>
                <w:szCs w:val="20"/>
              </w:rPr>
            </w:pPr>
          </w:p>
        </w:tc>
        <w:tc>
          <w:tcPr>
            <w:tcW w:w="7791" w:type="dxa"/>
          </w:tcPr>
          <w:p w14:paraId="0C03E012" w14:textId="2A894681" w:rsidR="00FC307D" w:rsidRPr="00587CAC" w:rsidRDefault="00FC307D" w:rsidP="00587CAC">
            <w:pPr>
              <w:ind w:left="194" w:hanging="142"/>
              <w:rPr>
                <w:i/>
                <w:iCs/>
                <w:sz w:val="20"/>
                <w:szCs w:val="20"/>
              </w:rPr>
            </w:pPr>
            <w:r w:rsidRPr="00587CAC">
              <w:rPr>
                <w:i/>
                <w:iCs/>
                <w:sz w:val="20"/>
                <w:szCs w:val="20"/>
              </w:rPr>
              <w:t>Adriatic &amp; Ionian Initiative (AII)</w:t>
            </w:r>
          </w:p>
        </w:tc>
      </w:tr>
      <w:tr w:rsidR="00FC307D" w14:paraId="18005AE1" w14:textId="77777777" w:rsidTr="00FC307D">
        <w:tc>
          <w:tcPr>
            <w:tcW w:w="551" w:type="dxa"/>
          </w:tcPr>
          <w:p w14:paraId="47CD7DD8" w14:textId="77777777" w:rsidR="00FC307D" w:rsidRPr="00FC307D" w:rsidRDefault="00FC307D" w:rsidP="00587CAC">
            <w:pPr>
              <w:ind w:left="194" w:hanging="142"/>
              <w:rPr>
                <w:sz w:val="20"/>
                <w:szCs w:val="20"/>
              </w:rPr>
            </w:pPr>
          </w:p>
        </w:tc>
        <w:tc>
          <w:tcPr>
            <w:tcW w:w="7791" w:type="dxa"/>
          </w:tcPr>
          <w:p w14:paraId="1537C800" w14:textId="31AFFEC4" w:rsidR="00FC307D" w:rsidRPr="00587CAC" w:rsidRDefault="00FC307D" w:rsidP="00587CAC">
            <w:pPr>
              <w:ind w:left="194" w:hanging="142"/>
              <w:rPr>
                <w:i/>
                <w:iCs/>
                <w:sz w:val="20"/>
                <w:szCs w:val="20"/>
              </w:rPr>
            </w:pPr>
            <w:r w:rsidRPr="00587CAC">
              <w:rPr>
                <w:i/>
                <w:iCs/>
                <w:sz w:val="20"/>
                <w:szCs w:val="20"/>
              </w:rPr>
              <w:t>Regional Cooperation Council (RCC)</w:t>
            </w:r>
          </w:p>
        </w:tc>
      </w:tr>
      <w:tr w:rsidR="00FC307D" w14:paraId="2178228A" w14:textId="77777777" w:rsidTr="00FC307D">
        <w:tc>
          <w:tcPr>
            <w:tcW w:w="551" w:type="dxa"/>
          </w:tcPr>
          <w:p w14:paraId="08C6CD43" w14:textId="77777777" w:rsidR="00FC307D" w:rsidRPr="00FC307D" w:rsidRDefault="00FC307D" w:rsidP="00587CAC">
            <w:pPr>
              <w:ind w:left="194" w:hanging="142"/>
              <w:rPr>
                <w:sz w:val="20"/>
                <w:szCs w:val="20"/>
              </w:rPr>
            </w:pPr>
          </w:p>
        </w:tc>
        <w:tc>
          <w:tcPr>
            <w:tcW w:w="7791" w:type="dxa"/>
          </w:tcPr>
          <w:p w14:paraId="60AB2A06" w14:textId="31619CBD" w:rsidR="00FC307D" w:rsidRPr="00587CAC" w:rsidRDefault="00FC307D" w:rsidP="00587CAC">
            <w:pPr>
              <w:ind w:left="194" w:hanging="142"/>
              <w:rPr>
                <w:i/>
                <w:iCs/>
                <w:sz w:val="20"/>
                <w:szCs w:val="20"/>
              </w:rPr>
            </w:pPr>
            <w:r w:rsidRPr="00587CAC">
              <w:rPr>
                <w:i/>
                <w:iCs/>
                <w:sz w:val="20"/>
                <w:szCs w:val="20"/>
              </w:rPr>
              <w:t>UNECE</w:t>
            </w:r>
          </w:p>
        </w:tc>
      </w:tr>
      <w:tr w:rsidR="00FC307D" w14:paraId="3C9825B3" w14:textId="77777777" w:rsidTr="00FC307D">
        <w:tc>
          <w:tcPr>
            <w:tcW w:w="551" w:type="dxa"/>
          </w:tcPr>
          <w:p w14:paraId="7208FDC6" w14:textId="77777777" w:rsidR="00FC307D" w:rsidRPr="00FC307D" w:rsidRDefault="00FC307D" w:rsidP="00587CAC">
            <w:pPr>
              <w:ind w:left="194" w:hanging="142"/>
              <w:rPr>
                <w:sz w:val="20"/>
                <w:szCs w:val="20"/>
              </w:rPr>
            </w:pPr>
          </w:p>
        </w:tc>
        <w:tc>
          <w:tcPr>
            <w:tcW w:w="7791" w:type="dxa"/>
          </w:tcPr>
          <w:p w14:paraId="44A65859" w14:textId="4DBD4B92" w:rsidR="00FC307D" w:rsidRPr="00587CAC" w:rsidRDefault="00FC307D" w:rsidP="00587CAC">
            <w:pPr>
              <w:ind w:left="194" w:hanging="142"/>
              <w:rPr>
                <w:i/>
                <w:iCs/>
                <w:sz w:val="20"/>
                <w:szCs w:val="20"/>
              </w:rPr>
            </w:pPr>
            <w:r w:rsidRPr="00587CAC">
              <w:rPr>
                <w:i/>
                <w:iCs/>
                <w:sz w:val="20"/>
                <w:szCs w:val="20"/>
              </w:rPr>
              <w:t>International Energy Agency (IEA)</w:t>
            </w:r>
          </w:p>
        </w:tc>
      </w:tr>
      <w:tr w:rsidR="00FC307D" w14:paraId="5CB4ED07" w14:textId="77777777" w:rsidTr="00FC307D">
        <w:tc>
          <w:tcPr>
            <w:tcW w:w="551" w:type="dxa"/>
          </w:tcPr>
          <w:p w14:paraId="39885E00" w14:textId="77777777" w:rsidR="00FC307D" w:rsidRPr="00FC307D" w:rsidRDefault="00FC307D" w:rsidP="00587CAC">
            <w:pPr>
              <w:ind w:left="194" w:hanging="142"/>
              <w:rPr>
                <w:sz w:val="20"/>
                <w:szCs w:val="20"/>
              </w:rPr>
            </w:pPr>
          </w:p>
        </w:tc>
        <w:tc>
          <w:tcPr>
            <w:tcW w:w="7791" w:type="dxa"/>
          </w:tcPr>
          <w:p w14:paraId="33EB15ED" w14:textId="5DFC77AF" w:rsidR="00FC307D" w:rsidRPr="00587CAC" w:rsidRDefault="00FC307D" w:rsidP="00587CAC">
            <w:pPr>
              <w:ind w:left="194" w:hanging="142"/>
              <w:rPr>
                <w:i/>
                <w:iCs/>
                <w:sz w:val="20"/>
                <w:szCs w:val="20"/>
              </w:rPr>
            </w:pPr>
            <w:r w:rsidRPr="00587CAC">
              <w:rPr>
                <w:i/>
                <w:iCs/>
                <w:sz w:val="20"/>
                <w:szCs w:val="20"/>
              </w:rPr>
              <w:t>International Renewable Energy Agency (IRENA)</w:t>
            </w:r>
          </w:p>
        </w:tc>
      </w:tr>
      <w:tr w:rsidR="00FC307D" w14:paraId="317B0B72" w14:textId="77777777" w:rsidTr="00FC307D">
        <w:tc>
          <w:tcPr>
            <w:tcW w:w="551" w:type="dxa"/>
          </w:tcPr>
          <w:p w14:paraId="500A695C" w14:textId="77777777" w:rsidR="00FC307D" w:rsidRPr="00FC307D" w:rsidRDefault="00FC307D" w:rsidP="00587CAC">
            <w:pPr>
              <w:rPr>
                <w:sz w:val="20"/>
                <w:szCs w:val="20"/>
              </w:rPr>
            </w:pPr>
          </w:p>
        </w:tc>
        <w:tc>
          <w:tcPr>
            <w:tcW w:w="7791" w:type="dxa"/>
          </w:tcPr>
          <w:p w14:paraId="23F60DC5" w14:textId="3F8AEF48" w:rsidR="00FC307D" w:rsidRPr="00587CAC" w:rsidRDefault="00FC307D" w:rsidP="00587CAC">
            <w:pPr>
              <w:rPr>
                <w:i/>
                <w:iCs/>
                <w:sz w:val="20"/>
                <w:szCs w:val="20"/>
              </w:rPr>
            </w:pPr>
            <w:r w:rsidRPr="00587CAC">
              <w:rPr>
                <w:i/>
                <w:iCs/>
                <w:sz w:val="20"/>
                <w:szCs w:val="20"/>
              </w:rPr>
              <w:t>Covenant of Mayors</w:t>
            </w:r>
          </w:p>
        </w:tc>
      </w:tr>
      <w:tr w:rsidR="00FC307D" w14:paraId="4881EF72" w14:textId="77777777" w:rsidTr="00FC307D">
        <w:tc>
          <w:tcPr>
            <w:tcW w:w="551" w:type="dxa"/>
          </w:tcPr>
          <w:p w14:paraId="4517F5FD" w14:textId="77777777" w:rsidR="00FC307D" w:rsidRPr="00FC307D" w:rsidRDefault="00FC307D" w:rsidP="00587CAC">
            <w:pPr>
              <w:ind w:left="194" w:hanging="142"/>
              <w:rPr>
                <w:sz w:val="20"/>
                <w:szCs w:val="20"/>
              </w:rPr>
            </w:pPr>
          </w:p>
        </w:tc>
        <w:tc>
          <w:tcPr>
            <w:tcW w:w="7791" w:type="dxa"/>
          </w:tcPr>
          <w:p w14:paraId="5872D5D3" w14:textId="3A78BDD9" w:rsidR="00FC307D" w:rsidRPr="00587CAC" w:rsidRDefault="00FC307D" w:rsidP="00587CAC">
            <w:pPr>
              <w:ind w:left="194" w:hanging="142"/>
              <w:rPr>
                <w:i/>
                <w:iCs/>
                <w:sz w:val="20"/>
                <w:szCs w:val="20"/>
              </w:rPr>
            </w:pPr>
            <w:r w:rsidRPr="00587CAC">
              <w:rPr>
                <w:i/>
                <w:iCs/>
                <w:sz w:val="20"/>
                <w:szCs w:val="20"/>
              </w:rPr>
              <w:t>Local Energy Agencies Networks</w:t>
            </w:r>
          </w:p>
        </w:tc>
      </w:tr>
    </w:tbl>
    <w:p w14:paraId="74CD1CFC" w14:textId="2F51CDCF" w:rsidR="00F04A9C" w:rsidRDefault="00F04A9C" w:rsidP="00F04A9C"/>
    <w:p w14:paraId="70513AE3" w14:textId="774D1B9C" w:rsidR="007315D2" w:rsidRDefault="007315D2" w:rsidP="00F04A9C"/>
    <w:p w14:paraId="7BDDD885" w14:textId="3FD1AC77" w:rsidR="00F04A9C" w:rsidRDefault="00F04A9C" w:rsidP="003B082E">
      <w:pPr>
        <w:pStyle w:val="Naslov3"/>
        <w:numPr>
          <w:ilvl w:val="1"/>
          <w:numId w:val="20"/>
        </w:numPr>
      </w:pPr>
      <w:r>
        <w:t>Relevant policies</w:t>
      </w:r>
    </w:p>
    <w:p w14:paraId="34844804" w14:textId="77777777" w:rsidR="003B082E" w:rsidRPr="003B082E" w:rsidRDefault="003B082E" w:rsidP="00780D04"/>
    <w:p w14:paraId="64705B3A" w14:textId="030ED337" w:rsidR="003B082E" w:rsidRDefault="002D314E" w:rsidP="00780D04">
      <w:pPr>
        <w:pStyle w:val="Naslov2"/>
        <w:numPr>
          <w:ilvl w:val="2"/>
          <w:numId w:val="20"/>
        </w:numPr>
        <w:rPr>
          <w:rFonts w:asciiTheme="minorHAnsi" w:eastAsiaTheme="minorHAnsi" w:hAnsiTheme="minorHAnsi" w:cstheme="minorBidi"/>
          <w:color w:val="auto"/>
          <w:sz w:val="22"/>
          <w:szCs w:val="22"/>
        </w:rPr>
      </w:pPr>
      <w:r w:rsidRPr="002D314E">
        <w:rPr>
          <w:rFonts w:asciiTheme="minorHAnsi" w:eastAsiaTheme="minorHAnsi" w:hAnsiTheme="minorHAnsi" w:cstheme="minorBidi"/>
          <w:color w:val="auto"/>
          <w:sz w:val="22"/>
          <w:szCs w:val="22"/>
        </w:rPr>
        <w:t xml:space="preserve">The following </w:t>
      </w:r>
      <w:r w:rsidRPr="00780D04">
        <w:rPr>
          <w:rFonts w:asciiTheme="minorHAnsi" w:eastAsiaTheme="minorHAnsi" w:hAnsiTheme="minorHAnsi" w:cstheme="minorBidi"/>
          <w:b/>
          <w:bCs/>
          <w:color w:val="auto"/>
          <w:sz w:val="22"/>
          <w:szCs w:val="22"/>
        </w:rPr>
        <w:t>policies</w:t>
      </w:r>
      <w:r w:rsidR="001C0CDF">
        <w:rPr>
          <w:rFonts w:asciiTheme="minorHAnsi" w:eastAsiaTheme="minorHAnsi" w:hAnsiTheme="minorHAnsi" w:cstheme="minorBidi"/>
          <w:b/>
          <w:bCs/>
          <w:color w:val="auto"/>
          <w:sz w:val="22"/>
          <w:szCs w:val="22"/>
        </w:rPr>
        <w:t>, regulations, directives, initiatives…</w:t>
      </w:r>
      <w:r w:rsidRPr="00780D04">
        <w:rPr>
          <w:rFonts w:asciiTheme="minorHAnsi" w:eastAsiaTheme="minorHAnsi" w:hAnsiTheme="minorHAnsi" w:cstheme="minorBidi"/>
          <w:b/>
          <w:bCs/>
          <w:color w:val="auto"/>
          <w:sz w:val="22"/>
          <w:szCs w:val="22"/>
        </w:rPr>
        <w:t xml:space="preserve"> </w:t>
      </w:r>
      <w:r w:rsidRPr="002D314E">
        <w:rPr>
          <w:rFonts w:asciiTheme="minorHAnsi" w:eastAsiaTheme="minorHAnsi" w:hAnsiTheme="minorHAnsi" w:cstheme="minorBidi"/>
          <w:color w:val="auto"/>
          <w:sz w:val="22"/>
          <w:szCs w:val="22"/>
        </w:rPr>
        <w:t xml:space="preserve">were identified as relevant for </w:t>
      </w:r>
      <w:r w:rsidRPr="00780D04">
        <w:rPr>
          <w:rFonts w:asciiTheme="minorHAnsi" w:eastAsiaTheme="minorHAnsi" w:hAnsiTheme="minorHAnsi" w:cstheme="minorBidi"/>
          <w:i/>
          <w:iCs/>
          <w:color w:val="auto"/>
          <w:sz w:val="22"/>
          <w:szCs w:val="22"/>
        </w:rPr>
        <w:t xml:space="preserve">Topic 2: </w:t>
      </w:r>
      <w:r w:rsidR="00587CAC" w:rsidRPr="00587CAC">
        <w:rPr>
          <w:rFonts w:asciiTheme="minorHAnsi" w:eastAsiaTheme="minorHAnsi" w:hAnsiTheme="minorHAnsi" w:cstheme="minorBidi"/>
          <w:i/>
          <w:iCs/>
          <w:color w:val="auto"/>
          <w:sz w:val="22"/>
          <w:szCs w:val="22"/>
        </w:rPr>
        <w:t>Green Energy</w:t>
      </w:r>
      <w:r w:rsidRPr="002D314E">
        <w:rPr>
          <w:rFonts w:asciiTheme="minorHAnsi" w:eastAsiaTheme="minorHAnsi" w:hAnsiTheme="minorHAnsi" w:cstheme="minorBidi"/>
          <w:color w:val="auto"/>
          <w:sz w:val="22"/>
          <w:szCs w:val="22"/>
        </w:rPr>
        <w:t>. Please also think about the funding op</w:t>
      </w:r>
      <w:r w:rsidR="001F1D2B">
        <w:rPr>
          <w:rFonts w:asciiTheme="minorHAnsi" w:eastAsiaTheme="minorHAnsi" w:hAnsiTheme="minorHAnsi" w:cstheme="minorBidi"/>
          <w:color w:val="auto"/>
          <w:sz w:val="22"/>
          <w:szCs w:val="22"/>
        </w:rPr>
        <w:t>p</w:t>
      </w:r>
      <w:r w:rsidRPr="002D314E">
        <w:rPr>
          <w:rFonts w:asciiTheme="minorHAnsi" w:eastAsiaTheme="minorHAnsi" w:hAnsiTheme="minorHAnsi" w:cstheme="minorBidi"/>
          <w:color w:val="auto"/>
          <w:sz w:val="22"/>
          <w:szCs w:val="22"/>
        </w:rPr>
        <w:t xml:space="preserve">ortunities related to these policies. Which are the most relevant? </w:t>
      </w:r>
    </w:p>
    <w:p w14:paraId="7F277822" w14:textId="3D4434CD" w:rsidR="002D314E" w:rsidRPr="00780D04" w:rsidRDefault="003B082E" w:rsidP="00780D04">
      <w:pPr>
        <w:pStyle w:val="Naslov2"/>
        <w:ind w:left="720"/>
        <w:rPr>
          <w:rFonts w:asciiTheme="minorHAnsi" w:eastAsiaTheme="minorHAnsi" w:hAnsiTheme="minorHAnsi" w:cstheme="minorBidi"/>
          <w:i/>
          <w:iCs/>
          <w:color w:val="auto"/>
          <w:sz w:val="22"/>
          <w:szCs w:val="22"/>
        </w:rPr>
      </w:pPr>
      <w:r w:rsidRPr="00780D04">
        <w:rPr>
          <w:rFonts w:asciiTheme="minorHAnsi" w:eastAsiaTheme="minorHAnsi" w:hAnsiTheme="minorHAnsi" w:cstheme="minorBidi"/>
          <w:i/>
          <w:iCs/>
          <w:color w:val="auto"/>
          <w:sz w:val="22"/>
          <w:szCs w:val="22"/>
          <w:highlight w:val="yellow"/>
        </w:rPr>
        <w:t>(Please tick the boxes before the selected policies)</w:t>
      </w:r>
    </w:p>
    <w:p w14:paraId="08C85297" w14:textId="4FD8E17B" w:rsidR="00F04A9C" w:rsidRDefault="00F04A9C" w:rsidP="00780D04">
      <w:pPr>
        <w:spacing w:after="0"/>
      </w:pPr>
    </w:p>
    <w:tbl>
      <w:tblPr>
        <w:tblStyle w:val="Tabelamrea"/>
        <w:tblW w:w="0" w:type="auto"/>
        <w:tblInd w:w="720" w:type="dxa"/>
        <w:tblLook w:val="04A0" w:firstRow="1" w:lastRow="0" w:firstColumn="1" w:lastColumn="0" w:noHBand="0" w:noVBand="1"/>
      </w:tblPr>
      <w:tblGrid>
        <w:gridCol w:w="487"/>
        <w:gridCol w:w="7855"/>
      </w:tblGrid>
      <w:tr w:rsidR="00017CBB" w:rsidRPr="00017CBB" w14:paraId="1639BEAA" w14:textId="77777777" w:rsidTr="00017CBB">
        <w:tc>
          <w:tcPr>
            <w:tcW w:w="487" w:type="dxa"/>
          </w:tcPr>
          <w:p w14:paraId="0072F033" w14:textId="77777777" w:rsidR="00017CBB" w:rsidRPr="00780D04" w:rsidRDefault="00017CBB" w:rsidP="00587CAC">
            <w:pPr>
              <w:pStyle w:val="Odstavekseznama"/>
              <w:ind w:left="0"/>
            </w:pPr>
          </w:p>
        </w:tc>
        <w:tc>
          <w:tcPr>
            <w:tcW w:w="7855" w:type="dxa"/>
          </w:tcPr>
          <w:p w14:paraId="3DEF0904" w14:textId="7CAA66E0" w:rsidR="00017CBB" w:rsidRPr="00587CAC" w:rsidRDefault="00C87B20" w:rsidP="00587CAC">
            <w:pPr>
              <w:rPr>
                <w:i/>
                <w:iCs/>
                <w:sz w:val="20"/>
                <w:szCs w:val="20"/>
              </w:rPr>
            </w:pPr>
            <w:r w:rsidRPr="00587CAC">
              <w:rPr>
                <w:i/>
                <w:iCs/>
                <w:sz w:val="20"/>
                <w:szCs w:val="20"/>
              </w:rPr>
              <w:t>Energy Community Treaty</w:t>
            </w:r>
          </w:p>
        </w:tc>
      </w:tr>
      <w:tr w:rsidR="00017CBB" w:rsidRPr="00017CBB" w14:paraId="68E1735E" w14:textId="77777777" w:rsidTr="00017CBB">
        <w:tc>
          <w:tcPr>
            <w:tcW w:w="487" w:type="dxa"/>
          </w:tcPr>
          <w:p w14:paraId="40543BED" w14:textId="77777777" w:rsidR="00017CBB" w:rsidRPr="00780D04" w:rsidRDefault="00017CBB" w:rsidP="00587CAC">
            <w:pPr>
              <w:pStyle w:val="Odstavekseznama"/>
              <w:ind w:left="0"/>
            </w:pPr>
          </w:p>
        </w:tc>
        <w:tc>
          <w:tcPr>
            <w:tcW w:w="7855" w:type="dxa"/>
          </w:tcPr>
          <w:p w14:paraId="5F700E4C" w14:textId="30398760" w:rsidR="00017CBB" w:rsidRPr="00587CAC" w:rsidRDefault="00C87B20" w:rsidP="00587CAC">
            <w:pPr>
              <w:rPr>
                <w:i/>
                <w:iCs/>
                <w:sz w:val="20"/>
                <w:szCs w:val="20"/>
              </w:rPr>
            </w:pPr>
            <w:r w:rsidRPr="00587CAC">
              <w:rPr>
                <w:i/>
                <w:iCs/>
                <w:sz w:val="20"/>
                <w:szCs w:val="20"/>
              </w:rPr>
              <w:t>The European Green Deal (COM 2019/640 final)</w:t>
            </w:r>
            <w:r w:rsidRPr="00587CAC" w:rsidDel="00C87B20">
              <w:rPr>
                <w:i/>
                <w:iCs/>
                <w:sz w:val="20"/>
                <w:szCs w:val="20"/>
              </w:rPr>
              <w:t xml:space="preserve"> </w:t>
            </w:r>
          </w:p>
        </w:tc>
      </w:tr>
      <w:tr w:rsidR="00017CBB" w:rsidRPr="006F60E0" w14:paraId="606317C6" w14:textId="77777777" w:rsidTr="00017CBB">
        <w:tc>
          <w:tcPr>
            <w:tcW w:w="487" w:type="dxa"/>
          </w:tcPr>
          <w:p w14:paraId="2C13BD5C" w14:textId="77777777" w:rsidR="00017CBB" w:rsidRPr="00780D04" w:rsidRDefault="00017CBB" w:rsidP="00587CAC">
            <w:pPr>
              <w:pStyle w:val="Odstavekseznama"/>
              <w:ind w:left="0"/>
            </w:pPr>
          </w:p>
        </w:tc>
        <w:tc>
          <w:tcPr>
            <w:tcW w:w="7855" w:type="dxa"/>
          </w:tcPr>
          <w:p w14:paraId="148C2B3A" w14:textId="0E778165" w:rsidR="00017CBB" w:rsidRPr="00587CAC" w:rsidRDefault="00C87B20" w:rsidP="00587CAC">
            <w:pPr>
              <w:rPr>
                <w:i/>
                <w:iCs/>
                <w:sz w:val="20"/>
                <w:szCs w:val="20"/>
              </w:rPr>
            </w:pPr>
            <w:r w:rsidRPr="00587CAC">
              <w:rPr>
                <w:i/>
                <w:iCs/>
                <w:sz w:val="20"/>
                <w:szCs w:val="20"/>
              </w:rPr>
              <w:t>the Paris Agreement on climate change of December 2015</w:t>
            </w:r>
          </w:p>
        </w:tc>
      </w:tr>
      <w:tr w:rsidR="00017CBB" w:rsidRPr="006F60E0" w14:paraId="6841E661" w14:textId="77777777" w:rsidTr="00017CBB">
        <w:tc>
          <w:tcPr>
            <w:tcW w:w="487" w:type="dxa"/>
          </w:tcPr>
          <w:p w14:paraId="64F5E528" w14:textId="77777777" w:rsidR="00017CBB" w:rsidRPr="00780D04" w:rsidRDefault="00017CBB" w:rsidP="00587CAC">
            <w:pPr>
              <w:pStyle w:val="Odstavekseznama"/>
              <w:ind w:left="0"/>
            </w:pPr>
          </w:p>
        </w:tc>
        <w:tc>
          <w:tcPr>
            <w:tcW w:w="7855" w:type="dxa"/>
          </w:tcPr>
          <w:p w14:paraId="486510CA" w14:textId="19ABC800" w:rsidR="00017CBB" w:rsidRPr="00587CAC" w:rsidRDefault="00731296" w:rsidP="00587CAC">
            <w:pPr>
              <w:rPr>
                <w:i/>
                <w:iCs/>
                <w:sz w:val="20"/>
                <w:szCs w:val="20"/>
              </w:rPr>
            </w:pPr>
            <w:r w:rsidRPr="00587CAC">
              <w:rPr>
                <w:i/>
                <w:iCs/>
                <w:sz w:val="20"/>
                <w:szCs w:val="20"/>
              </w:rPr>
              <w:t>Regulation (EU) 2018/1999 on the Governance of the Energy Union and Climate Action</w:t>
            </w:r>
          </w:p>
        </w:tc>
      </w:tr>
      <w:tr w:rsidR="00017CBB" w:rsidRPr="006F60E0" w14:paraId="00AF71D1" w14:textId="77777777" w:rsidTr="00017CBB">
        <w:tc>
          <w:tcPr>
            <w:tcW w:w="487" w:type="dxa"/>
          </w:tcPr>
          <w:p w14:paraId="352977CA" w14:textId="77777777" w:rsidR="00017CBB" w:rsidRPr="00780D04" w:rsidRDefault="00017CBB" w:rsidP="00587CAC">
            <w:pPr>
              <w:pStyle w:val="Odstavekseznama"/>
              <w:ind w:left="0"/>
            </w:pPr>
          </w:p>
        </w:tc>
        <w:tc>
          <w:tcPr>
            <w:tcW w:w="7855" w:type="dxa"/>
          </w:tcPr>
          <w:p w14:paraId="12E545B2" w14:textId="6E246656" w:rsidR="00017CBB" w:rsidRPr="00587CAC" w:rsidRDefault="00F66CC1" w:rsidP="00587CAC">
            <w:pPr>
              <w:rPr>
                <w:i/>
                <w:iCs/>
                <w:sz w:val="20"/>
                <w:szCs w:val="20"/>
              </w:rPr>
            </w:pPr>
            <w:r w:rsidRPr="00587CAC">
              <w:rPr>
                <w:i/>
                <w:iCs/>
                <w:sz w:val="20"/>
                <w:szCs w:val="20"/>
              </w:rPr>
              <w:t>Fit for 55 Package,  Clean energy for all Europeans package</w:t>
            </w:r>
          </w:p>
        </w:tc>
      </w:tr>
      <w:tr w:rsidR="00017CBB" w:rsidRPr="006F60E0" w14:paraId="5503C6D6" w14:textId="77777777" w:rsidTr="00017CBB">
        <w:tc>
          <w:tcPr>
            <w:tcW w:w="487" w:type="dxa"/>
          </w:tcPr>
          <w:p w14:paraId="78596E97" w14:textId="77777777" w:rsidR="00017CBB" w:rsidRPr="00780D04" w:rsidRDefault="00017CBB" w:rsidP="00587CAC">
            <w:pPr>
              <w:pStyle w:val="Odstavekseznama"/>
              <w:ind w:left="0"/>
            </w:pPr>
          </w:p>
        </w:tc>
        <w:tc>
          <w:tcPr>
            <w:tcW w:w="7855" w:type="dxa"/>
          </w:tcPr>
          <w:p w14:paraId="19F487A0" w14:textId="3FD16BE2" w:rsidR="00017CBB" w:rsidRPr="00587CAC" w:rsidRDefault="00E56A4D" w:rsidP="00587CAC">
            <w:pPr>
              <w:rPr>
                <w:i/>
                <w:iCs/>
                <w:sz w:val="20"/>
                <w:szCs w:val="20"/>
              </w:rPr>
            </w:pPr>
            <w:r w:rsidRPr="00587CAC">
              <w:rPr>
                <w:i/>
                <w:iCs/>
                <w:sz w:val="20"/>
                <w:szCs w:val="20"/>
              </w:rPr>
              <w:t>A Renovation Wave for Europe strategy – greening our buildings, creating jobs, improving lives (COM/2020/662 final)</w:t>
            </w:r>
            <w:r w:rsidRPr="00587CAC" w:rsidDel="00E56A4D">
              <w:rPr>
                <w:i/>
                <w:iCs/>
                <w:sz w:val="20"/>
                <w:szCs w:val="20"/>
              </w:rPr>
              <w:t xml:space="preserve"> </w:t>
            </w:r>
          </w:p>
        </w:tc>
      </w:tr>
      <w:tr w:rsidR="00017CBB" w:rsidRPr="006F60E0" w14:paraId="1BF09BCD" w14:textId="77777777" w:rsidTr="00017CBB">
        <w:tc>
          <w:tcPr>
            <w:tcW w:w="487" w:type="dxa"/>
          </w:tcPr>
          <w:p w14:paraId="3909AD22" w14:textId="77777777" w:rsidR="00017CBB" w:rsidRPr="00780D04" w:rsidRDefault="00017CBB" w:rsidP="00587CAC">
            <w:pPr>
              <w:pStyle w:val="Odstavekseznama"/>
              <w:ind w:left="0"/>
            </w:pPr>
          </w:p>
        </w:tc>
        <w:tc>
          <w:tcPr>
            <w:tcW w:w="7855" w:type="dxa"/>
          </w:tcPr>
          <w:p w14:paraId="4343D289" w14:textId="6024A241" w:rsidR="00017CBB" w:rsidRPr="00587CAC" w:rsidRDefault="006E3A72" w:rsidP="00587CAC">
            <w:pPr>
              <w:rPr>
                <w:i/>
                <w:iCs/>
                <w:sz w:val="20"/>
                <w:szCs w:val="20"/>
              </w:rPr>
            </w:pPr>
            <w:r w:rsidRPr="00587CAC">
              <w:rPr>
                <w:i/>
                <w:iCs/>
                <w:sz w:val="20"/>
                <w:szCs w:val="20"/>
              </w:rPr>
              <w:t>Energy Performance of Buildings Directive ((EU 2018/844)</w:t>
            </w:r>
            <w:r w:rsidRPr="00587CAC" w:rsidDel="006E3A72">
              <w:rPr>
                <w:i/>
                <w:iCs/>
                <w:sz w:val="20"/>
                <w:szCs w:val="20"/>
              </w:rPr>
              <w:t xml:space="preserve"> </w:t>
            </w:r>
          </w:p>
        </w:tc>
      </w:tr>
      <w:tr w:rsidR="00017CBB" w:rsidRPr="006F60E0" w14:paraId="697D1319" w14:textId="77777777" w:rsidTr="00017CBB">
        <w:tc>
          <w:tcPr>
            <w:tcW w:w="487" w:type="dxa"/>
          </w:tcPr>
          <w:p w14:paraId="71A05B03" w14:textId="77777777" w:rsidR="00017CBB" w:rsidRPr="00780D04" w:rsidRDefault="00017CBB" w:rsidP="00587CAC">
            <w:pPr>
              <w:pStyle w:val="Odstavekseznama"/>
              <w:ind w:left="0"/>
            </w:pPr>
          </w:p>
        </w:tc>
        <w:tc>
          <w:tcPr>
            <w:tcW w:w="7855" w:type="dxa"/>
          </w:tcPr>
          <w:p w14:paraId="2FD069F1" w14:textId="787179B1" w:rsidR="00017CBB" w:rsidRPr="00587CAC" w:rsidRDefault="00510CA8" w:rsidP="00587CAC">
            <w:pPr>
              <w:rPr>
                <w:i/>
                <w:iCs/>
                <w:sz w:val="20"/>
                <w:szCs w:val="20"/>
              </w:rPr>
            </w:pPr>
            <w:r w:rsidRPr="00587CAC">
              <w:rPr>
                <w:i/>
                <w:iCs/>
                <w:sz w:val="20"/>
                <w:szCs w:val="20"/>
              </w:rPr>
              <w:t>Directive on Energy Efficiency ((EU) 2018/2002)</w:t>
            </w:r>
            <w:r w:rsidRPr="00587CAC" w:rsidDel="00510CA8">
              <w:rPr>
                <w:i/>
                <w:iCs/>
                <w:sz w:val="20"/>
                <w:szCs w:val="20"/>
              </w:rPr>
              <w:t xml:space="preserve"> </w:t>
            </w:r>
          </w:p>
        </w:tc>
      </w:tr>
      <w:tr w:rsidR="005870D9" w:rsidRPr="006F60E0" w14:paraId="7CE506B8" w14:textId="77777777" w:rsidTr="00017CBB">
        <w:tc>
          <w:tcPr>
            <w:tcW w:w="487" w:type="dxa"/>
          </w:tcPr>
          <w:p w14:paraId="301966E0" w14:textId="77777777" w:rsidR="005870D9" w:rsidRPr="00780D04" w:rsidRDefault="005870D9" w:rsidP="00587CAC">
            <w:pPr>
              <w:pStyle w:val="Odstavekseznama"/>
              <w:ind w:left="0"/>
            </w:pPr>
          </w:p>
        </w:tc>
        <w:tc>
          <w:tcPr>
            <w:tcW w:w="7855" w:type="dxa"/>
          </w:tcPr>
          <w:p w14:paraId="598C7804" w14:textId="0AE71461" w:rsidR="005870D9" w:rsidRPr="00587CAC" w:rsidRDefault="005870D9" w:rsidP="00587CAC">
            <w:pPr>
              <w:rPr>
                <w:i/>
                <w:iCs/>
                <w:sz w:val="20"/>
                <w:szCs w:val="20"/>
              </w:rPr>
            </w:pPr>
            <w:r w:rsidRPr="00587CAC">
              <w:rPr>
                <w:i/>
                <w:iCs/>
                <w:sz w:val="20"/>
                <w:szCs w:val="20"/>
              </w:rPr>
              <w:t xml:space="preserve">An Economic and Investment Plan for the Western Balkans (COM(2020) 641 final) </w:t>
            </w:r>
          </w:p>
        </w:tc>
      </w:tr>
      <w:tr w:rsidR="005870D9" w:rsidRPr="006F60E0" w14:paraId="1AE1463E" w14:textId="77777777" w:rsidTr="00017CBB">
        <w:tc>
          <w:tcPr>
            <w:tcW w:w="487" w:type="dxa"/>
          </w:tcPr>
          <w:p w14:paraId="411DCFA4" w14:textId="77777777" w:rsidR="005870D9" w:rsidRPr="00780D04" w:rsidRDefault="005870D9" w:rsidP="00587CAC">
            <w:pPr>
              <w:pStyle w:val="Odstavekseznama"/>
              <w:ind w:left="0"/>
            </w:pPr>
          </w:p>
        </w:tc>
        <w:tc>
          <w:tcPr>
            <w:tcW w:w="7855" w:type="dxa"/>
          </w:tcPr>
          <w:p w14:paraId="2FB3AC2F" w14:textId="5297C36A" w:rsidR="005870D9" w:rsidRPr="00FC307D" w:rsidRDefault="006D1976" w:rsidP="00587CAC">
            <w:pPr>
              <w:rPr>
                <w:sz w:val="20"/>
                <w:szCs w:val="20"/>
              </w:rPr>
            </w:pPr>
            <w:r w:rsidRPr="00FC307D">
              <w:rPr>
                <w:sz w:val="20"/>
                <w:szCs w:val="20"/>
              </w:rPr>
              <w:t>Action Plan for the Implementation of the Green Agenda for the Western Balkans 2021-2030</w:t>
            </w:r>
          </w:p>
        </w:tc>
      </w:tr>
      <w:tr w:rsidR="006D1976" w:rsidRPr="006F60E0" w14:paraId="1C0CFAE3" w14:textId="77777777" w:rsidTr="00017CBB">
        <w:tc>
          <w:tcPr>
            <w:tcW w:w="487" w:type="dxa"/>
          </w:tcPr>
          <w:p w14:paraId="0249F252" w14:textId="77777777" w:rsidR="006D1976" w:rsidRPr="00780D04" w:rsidRDefault="006D1976" w:rsidP="00587CAC">
            <w:pPr>
              <w:pStyle w:val="Odstavekseznama"/>
              <w:ind w:left="0"/>
            </w:pPr>
          </w:p>
        </w:tc>
        <w:tc>
          <w:tcPr>
            <w:tcW w:w="7855" w:type="dxa"/>
          </w:tcPr>
          <w:p w14:paraId="69E1F1FA" w14:textId="2DCBA161" w:rsidR="006D1976" w:rsidRPr="00FC307D" w:rsidRDefault="001610F4" w:rsidP="00587CAC">
            <w:pPr>
              <w:rPr>
                <w:sz w:val="20"/>
                <w:szCs w:val="20"/>
              </w:rPr>
            </w:pPr>
            <w:r w:rsidRPr="00FC307D">
              <w:rPr>
                <w:sz w:val="20"/>
                <w:szCs w:val="20"/>
              </w:rPr>
              <w:t>European Climate Pact</w:t>
            </w:r>
          </w:p>
        </w:tc>
      </w:tr>
    </w:tbl>
    <w:p w14:paraId="187C0C55" w14:textId="77777777" w:rsidR="00F04A9C" w:rsidRDefault="00F04A9C" w:rsidP="00587CAC">
      <w:pPr>
        <w:pStyle w:val="Odstavekseznama"/>
      </w:pPr>
    </w:p>
    <w:p w14:paraId="5B2B44D7" w14:textId="7376C4EC" w:rsidR="003B082E" w:rsidRDefault="002D314E" w:rsidP="003B082E">
      <w:pPr>
        <w:pStyle w:val="Naslov2"/>
        <w:numPr>
          <w:ilvl w:val="2"/>
          <w:numId w:val="20"/>
        </w:numPr>
        <w:rPr>
          <w:rFonts w:asciiTheme="minorHAnsi" w:eastAsiaTheme="minorHAnsi" w:hAnsiTheme="minorHAnsi" w:cstheme="minorBidi"/>
          <w:color w:val="auto"/>
          <w:sz w:val="22"/>
          <w:szCs w:val="22"/>
        </w:rPr>
      </w:pPr>
      <w:r w:rsidRPr="00780D04">
        <w:rPr>
          <w:rFonts w:asciiTheme="minorHAnsi" w:eastAsiaTheme="minorHAnsi" w:hAnsiTheme="minorHAnsi" w:cstheme="minorBidi"/>
          <w:color w:val="auto"/>
          <w:sz w:val="22"/>
          <w:szCs w:val="22"/>
        </w:rPr>
        <w:t>Is there another policy, or initiative, to be mentioned</w:t>
      </w:r>
      <w:r w:rsidR="003B082E">
        <w:rPr>
          <w:rFonts w:asciiTheme="minorHAnsi" w:eastAsiaTheme="minorHAnsi" w:hAnsiTheme="minorHAnsi" w:cstheme="minorBidi"/>
          <w:color w:val="auto"/>
          <w:sz w:val="22"/>
          <w:szCs w:val="22"/>
        </w:rPr>
        <w:t>?</w:t>
      </w:r>
    </w:p>
    <w:p w14:paraId="6DB6D43E" w14:textId="77777777" w:rsidR="003B082E" w:rsidRPr="003B082E" w:rsidRDefault="003B082E" w:rsidP="00780D04">
      <w:pPr>
        <w:spacing w:after="0"/>
      </w:pPr>
    </w:p>
    <w:tbl>
      <w:tblPr>
        <w:tblStyle w:val="Tabelamrea"/>
        <w:tblW w:w="0" w:type="auto"/>
        <w:tblInd w:w="720" w:type="dxa"/>
        <w:tblLook w:val="04A0" w:firstRow="1" w:lastRow="0" w:firstColumn="1" w:lastColumn="0" w:noHBand="0" w:noVBand="1"/>
      </w:tblPr>
      <w:tblGrid>
        <w:gridCol w:w="8342"/>
      </w:tblGrid>
      <w:tr w:rsidR="00377B52" w14:paraId="0E4877B4" w14:textId="77777777" w:rsidTr="00BC5D33">
        <w:tc>
          <w:tcPr>
            <w:tcW w:w="9062" w:type="dxa"/>
          </w:tcPr>
          <w:p w14:paraId="5FB3C2E3" w14:textId="77777777" w:rsidR="00377B52" w:rsidRDefault="00377B52" w:rsidP="00BC5D33">
            <w:pPr>
              <w:pStyle w:val="Odstavekseznama"/>
              <w:ind w:left="360"/>
            </w:pPr>
          </w:p>
        </w:tc>
      </w:tr>
    </w:tbl>
    <w:p w14:paraId="0D24E3D3" w14:textId="77777777" w:rsidR="00377B52" w:rsidRDefault="00377B52" w:rsidP="00377B52">
      <w:pPr>
        <w:pStyle w:val="Odstavekseznama"/>
      </w:pPr>
    </w:p>
    <w:p w14:paraId="08F95162" w14:textId="7998044B" w:rsidR="00377B52" w:rsidRDefault="00377B52" w:rsidP="00F04A9C">
      <w:pPr>
        <w:pStyle w:val="Odstavekseznama"/>
      </w:pPr>
    </w:p>
    <w:p w14:paraId="7EA0B50D" w14:textId="2E6D892C" w:rsidR="00F04A9C" w:rsidRDefault="00F04A9C" w:rsidP="003B082E">
      <w:pPr>
        <w:pStyle w:val="Naslov3"/>
        <w:numPr>
          <w:ilvl w:val="1"/>
          <w:numId w:val="20"/>
        </w:numPr>
      </w:pPr>
      <w:r>
        <w:t>Actions</w:t>
      </w:r>
    </w:p>
    <w:p w14:paraId="72A90D25" w14:textId="77777777" w:rsidR="003B082E" w:rsidRPr="003B082E" w:rsidRDefault="003B082E" w:rsidP="00780D04"/>
    <w:p w14:paraId="4BFC3B60" w14:textId="529635DE" w:rsidR="003B082E" w:rsidRDefault="001F1D2B" w:rsidP="003B082E">
      <w:r w:rsidRPr="001F1D2B">
        <w:t xml:space="preserve">There are </w:t>
      </w:r>
      <w:r w:rsidR="00D315A5">
        <w:t>two</w:t>
      </w:r>
      <w:r w:rsidR="00D315A5" w:rsidRPr="00780D04">
        <w:rPr>
          <w:b/>
          <w:bCs/>
        </w:rPr>
        <w:t xml:space="preserve"> </w:t>
      </w:r>
      <w:r w:rsidRPr="00780D04">
        <w:rPr>
          <w:b/>
          <w:bCs/>
        </w:rPr>
        <w:t>Actions</w:t>
      </w:r>
      <w:r w:rsidRPr="001F1D2B">
        <w:t xml:space="preserve"> foreseen in the initial policy paper</w:t>
      </w:r>
      <w:r w:rsidR="003B082E">
        <w:t>:</w:t>
      </w:r>
      <w:r w:rsidRPr="001F1D2B">
        <w:t xml:space="preserve"> </w:t>
      </w:r>
    </w:p>
    <w:p w14:paraId="5C75D0E2" w14:textId="321D97AF" w:rsidR="00CC33C6" w:rsidRPr="00352F52" w:rsidRDefault="00CC33C6" w:rsidP="00CC33C6">
      <w:pPr>
        <w:pStyle w:val="Odstavekseznama"/>
        <w:ind w:left="0"/>
        <w:rPr>
          <w:b/>
          <w:i/>
          <w:iCs/>
          <w:sz w:val="20"/>
          <w:szCs w:val="20"/>
        </w:rPr>
      </w:pPr>
      <w:r w:rsidRPr="00352F52">
        <w:rPr>
          <w:b/>
          <w:i/>
          <w:iCs/>
          <w:sz w:val="20"/>
          <w:szCs w:val="20"/>
        </w:rPr>
        <w:t>Action 2.1: Cooperation in deployment of renewable energy sources in the Adriatic-Ionian Region</w:t>
      </w:r>
    </w:p>
    <w:p w14:paraId="2EDB635E"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 xml:space="preserve">Cooperation in the development and implementation of National Energy and Climate Plans. </w:t>
      </w:r>
    </w:p>
    <w:p w14:paraId="317FCAE4"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Cooperation in the improvement of the investment environment for clean energy investments in terms of a comprehensive regulatory framework.</w:t>
      </w:r>
    </w:p>
    <w:p w14:paraId="0E975A15"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Preparation of renewable energy roadmap for the Adriatic-Ionian Region, mapping the renewable energy potentials, identifying implementation challenges and barriers for RES deployment, assessing the socio-economic impact of decarbonisation, and agreeing on macro-regional actions to address them.</w:t>
      </w:r>
    </w:p>
    <w:p w14:paraId="5F679585"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Promotion of the use of renewable energy in the electricity sector, the heating and cooling sector and the transport sector. Support macro-regional networking and best practice sharing in renewable energy communities, decarbonized district heating solutions, self-consumption.</w:t>
      </w:r>
    </w:p>
    <w:p w14:paraId="23DFEA82"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 xml:space="preserve">Explore opportunities of European initiatives such as Coal regions in transition and the Western Balkan initiative or the European Climate Pact to encourage best practice sharing, cooperation and capacity building. </w:t>
      </w:r>
    </w:p>
    <w:p w14:paraId="603432E0"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Support in alignment of the Western Balkan countries with the acquis related to decarbonisation of the energy sector in the framework of the Energy Community.</w:t>
      </w:r>
    </w:p>
    <w:p w14:paraId="68A7940C" w14:textId="77777777" w:rsidR="008629FC" w:rsidRPr="00352F52" w:rsidRDefault="008629FC" w:rsidP="00780D04">
      <w:pPr>
        <w:spacing w:after="0"/>
        <w:ind w:firstLine="720"/>
        <w:rPr>
          <w:i/>
          <w:iCs/>
          <w:sz w:val="20"/>
          <w:szCs w:val="20"/>
        </w:rPr>
      </w:pPr>
    </w:p>
    <w:p w14:paraId="7500AF70" w14:textId="6E0E41D3" w:rsidR="00CC33C6" w:rsidRPr="00352F52" w:rsidRDefault="00CC33C6" w:rsidP="00CC33C6">
      <w:pPr>
        <w:spacing w:after="0"/>
        <w:ind w:right="57"/>
        <w:rPr>
          <w:b/>
          <w:i/>
          <w:iCs/>
          <w:sz w:val="20"/>
          <w:szCs w:val="20"/>
        </w:rPr>
      </w:pPr>
      <w:r w:rsidRPr="00352F52">
        <w:rPr>
          <w:b/>
          <w:i/>
          <w:iCs/>
          <w:sz w:val="20"/>
          <w:szCs w:val="20"/>
        </w:rPr>
        <w:t>Action 2.2: Improve energy efficiency through macro-regional cooperation</w:t>
      </w:r>
    </w:p>
    <w:p w14:paraId="1819E2F5" w14:textId="4249B38B" w:rsidR="00752CD6" w:rsidRPr="00AA13D8" w:rsidRDefault="00752CD6" w:rsidP="00AA13D8">
      <w:pPr>
        <w:pStyle w:val="Odstavekseznama"/>
        <w:numPr>
          <w:ilvl w:val="0"/>
          <w:numId w:val="41"/>
        </w:numPr>
        <w:spacing w:after="0" w:line="240" w:lineRule="auto"/>
        <w:ind w:left="284" w:hanging="284"/>
        <w:rPr>
          <w:i/>
          <w:iCs/>
          <w:sz w:val="20"/>
          <w:szCs w:val="20"/>
        </w:rPr>
      </w:pPr>
      <w:r w:rsidRPr="00AA13D8">
        <w:rPr>
          <w:i/>
          <w:iCs/>
          <w:sz w:val="20"/>
          <w:szCs w:val="20"/>
        </w:rPr>
        <w:t xml:space="preserve">Macro-regional cooperation in all efficient energy uses, energy efficient housing and industrial processes, domotics, energy efficient public buildings and services, energy efficient mobility, new devices such as heat pumps, telemetering, digitalisation of energy delivery and end-use. District heating should also be an area of concern as well as sustainable mobility. Increased electrification of the societies towards a decarbonised economy is a must. </w:t>
      </w:r>
    </w:p>
    <w:p w14:paraId="36573F58"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Cooperation in macro-regional energy efficiency research and monitoring as well as recommendations on possible macro-regional actions.</w:t>
      </w:r>
    </w:p>
    <w:p w14:paraId="4C25DCEC"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 xml:space="preserve">Cooperation in the development and implementation of National Energy and Climate Plans (energy efficiency part). </w:t>
      </w:r>
    </w:p>
    <w:p w14:paraId="63992E49"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Cooperation in development and implementation of National long-term renovation strategies.</w:t>
      </w:r>
    </w:p>
    <w:p w14:paraId="06919D96"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Cooperate in implementing programmes addressing energy poverty in the region.</w:t>
      </w:r>
    </w:p>
    <w:p w14:paraId="1B5728A9"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Cooperate in development/implementation of more efficient (digitalisation, monitoring) and impact-oriented integration of EU energy performance certification system /standard into national legislation.</w:t>
      </w:r>
    </w:p>
    <w:p w14:paraId="79BF9277" w14:textId="77777777" w:rsidR="00CC33C6"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Address administrative, legal and financial barriers to speed up a ‘renovation wave’ of public and private buildings, incl. cooperation/best practice sharing in designing innovative financing schemes or combining energy efficiency measures with renewable energy application.</w:t>
      </w:r>
    </w:p>
    <w:p w14:paraId="627C69CE" w14:textId="77777777" w:rsidR="00587CAC" w:rsidRPr="00352F52" w:rsidRDefault="00CC33C6" w:rsidP="00587CAC">
      <w:pPr>
        <w:pStyle w:val="Odstavekseznama"/>
        <w:numPr>
          <w:ilvl w:val="0"/>
          <w:numId w:val="41"/>
        </w:numPr>
        <w:spacing w:after="0" w:line="240" w:lineRule="auto"/>
        <w:ind w:left="284" w:hanging="284"/>
        <w:rPr>
          <w:i/>
          <w:iCs/>
          <w:sz w:val="20"/>
          <w:szCs w:val="20"/>
        </w:rPr>
      </w:pPr>
      <w:r w:rsidRPr="00352F52">
        <w:rPr>
          <w:i/>
          <w:iCs/>
          <w:sz w:val="20"/>
          <w:szCs w:val="20"/>
        </w:rPr>
        <w:t xml:space="preserve">Assist non-EU EUSAIR members in developing private and public building renovation schemes and securing appropriate financing, by extending the “EU renovation wave” to the Western Balkans. </w:t>
      </w:r>
    </w:p>
    <w:p w14:paraId="671D93DB" w14:textId="2C5E3D28" w:rsidR="00752CD6" w:rsidRDefault="00CC33C6" w:rsidP="00752CD6">
      <w:pPr>
        <w:pStyle w:val="Odstavekseznama"/>
        <w:numPr>
          <w:ilvl w:val="0"/>
          <w:numId w:val="41"/>
        </w:numPr>
        <w:spacing w:after="0" w:line="240" w:lineRule="auto"/>
        <w:ind w:left="284" w:hanging="284"/>
        <w:rPr>
          <w:i/>
          <w:iCs/>
          <w:sz w:val="20"/>
          <w:szCs w:val="20"/>
        </w:rPr>
      </w:pPr>
      <w:r w:rsidRPr="00352F52">
        <w:rPr>
          <w:i/>
          <w:iCs/>
          <w:sz w:val="20"/>
          <w:szCs w:val="20"/>
        </w:rPr>
        <w:t>Support macro-regional networking, community building, best practice sharing, capacity building and project development in energy efficiency.</w:t>
      </w:r>
    </w:p>
    <w:p w14:paraId="365CF6E2" w14:textId="4265F442" w:rsidR="00752CD6" w:rsidRDefault="00752CD6" w:rsidP="00752CD6">
      <w:pPr>
        <w:spacing w:after="0" w:line="240" w:lineRule="auto"/>
        <w:rPr>
          <w:i/>
          <w:iCs/>
          <w:sz w:val="20"/>
          <w:szCs w:val="20"/>
        </w:rPr>
      </w:pPr>
    </w:p>
    <w:p w14:paraId="5FEB10A8" w14:textId="45137565" w:rsidR="00752CD6" w:rsidRPr="00AA13D8" w:rsidRDefault="00752CD6" w:rsidP="00752CD6">
      <w:pPr>
        <w:spacing w:after="0" w:line="240" w:lineRule="auto"/>
        <w:rPr>
          <w:b/>
          <w:bCs/>
          <w:i/>
          <w:iCs/>
          <w:sz w:val="20"/>
          <w:szCs w:val="20"/>
        </w:rPr>
      </w:pPr>
      <w:r w:rsidRPr="00AA13D8">
        <w:rPr>
          <w:b/>
          <w:bCs/>
          <w:i/>
          <w:iCs/>
          <w:sz w:val="20"/>
          <w:szCs w:val="20"/>
        </w:rPr>
        <w:t>Action 2.3 Cooperation on energy technology innovation and hydrogen economy</w:t>
      </w:r>
    </w:p>
    <w:p w14:paraId="57EAEF72" w14:textId="2BC6F307" w:rsidR="00752CD6" w:rsidRPr="00752CD6" w:rsidRDefault="00752CD6" w:rsidP="00AA13D8">
      <w:pPr>
        <w:pStyle w:val="Odstavekseznama"/>
        <w:numPr>
          <w:ilvl w:val="0"/>
          <w:numId w:val="41"/>
        </w:numPr>
        <w:spacing w:after="0" w:line="240" w:lineRule="auto"/>
        <w:ind w:left="284" w:hanging="284"/>
        <w:rPr>
          <w:i/>
          <w:iCs/>
          <w:sz w:val="20"/>
          <w:szCs w:val="20"/>
        </w:rPr>
      </w:pPr>
      <w:r w:rsidRPr="00752CD6">
        <w:rPr>
          <w:i/>
          <w:iCs/>
          <w:sz w:val="20"/>
          <w:szCs w:val="20"/>
        </w:rPr>
        <w:t>Energy and electricity storage, fuel cells, carbon removal and storage</w:t>
      </w:r>
    </w:p>
    <w:p w14:paraId="6AF0D043" w14:textId="62E65687" w:rsidR="00752CD6" w:rsidRPr="00752CD6" w:rsidRDefault="00752CD6" w:rsidP="00AA13D8">
      <w:pPr>
        <w:pStyle w:val="Odstavekseznama"/>
        <w:numPr>
          <w:ilvl w:val="0"/>
          <w:numId w:val="41"/>
        </w:numPr>
        <w:spacing w:after="0" w:line="240" w:lineRule="auto"/>
        <w:ind w:left="284" w:hanging="284"/>
        <w:rPr>
          <w:i/>
          <w:iCs/>
          <w:sz w:val="20"/>
          <w:szCs w:val="20"/>
        </w:rPr>
      </w:pPr>
      <w:r w:rsidRPr="00752CD6">
        <w:rPr>
          <w:i/>
          <w:iCs/>
          <w:sz w:val="20"/>
          <w:szCs w:val="20"/>
        </w:rPr>
        <w:t>Hydrogen production technology, hydrogen storage and delivery (hydrogen logistics), zero-carbon fuels, electric and hydrogen vehicles</w:t>
      </w:r>
    </w:p>
    <w:p w14:paraId="3372911A" w14:textId="3B0B699E" w:rsidR="00752CD6" w:rsidRPr="00752CD6" w:rsidRDefault="00752CD6" w:rsidP="00AA13D8">
      <w:pPr>
        <w:pStyle w:val="Odstavekseznama"/>
        <w:numPr>
          <w:ilvl w:val="0"/>
          <w:numId w:val="41"/>
        </w:numPr>
        <w:spacing w:after="0" w:line="240" w:lineRule="auto"/>
        <w:ind w:left="284" w:hanging="284"/>
        <w:rPr>
          <w:i/>
          <w:iCs/>
          <w:sz w:val="20"/>
          <w:szCs w:val="20"/>
        </w:rPr>
      </w:pPr>
      <w:r w:rsidRPr="00752CD6">
        <w:rPr>
          <w:i/>
          <w:iCs/>
          <w:sz w:val="20"/>
          <w:szCs w:val="20"/>
        </w:rPr>
        <w:t>Cooperation on energy R&amp;D</w:t>
      </w:r>
    </w:p>
    <w:p w14:paraId="5C585813" w14:textId="4D35688A" w:rsidR="00752CD6" w:rsidRPr="00AA13D8" w:rsidRDefault="00752CD6" w:rsidP="00752CD6">
      <w:pPr>
        <w:pStyle w:val="Odstavekseznama"/>
        <w:numPr>
          <w:ilvl w:val="0"/>
          <w:numId w:val="41"/>
        </w:numPr>
        <w:spacing w:after="0" w:line="240" w:lineRule="auto"/>
        <w:ind w:left="284" w:hanging="284"/>
        <w:rPr>
          <w:i/>
          <w:iCs/>
          <w:sz w:val="20"/>
          <w:szCs w:val="20"/>
        </w:rPr>
      </w:pPr>
      <w:r w:rsidRPr="00752CD6">
        <w:rPr>
          <w:i/>
          <w:iCs/>
          <w:sz w:val="20"/>
          <w:szCs w:val="20"/>
        </w:rPr>
        <w:t>Cooperation on advanced nuclear fission power and nuclear fusion</w:t>
      </w:r>
    </w:p>
    <w:p w14:paraId="3C4701B1" w14:textId="46D49992" w:rsidR="000970A4" w:rsidRDefault="000970A4" w:rsidP="00780D04">
      <w:pPr>
        <w:spacing w:after="0"/>
      </w:pPr>
    </w:p>
    <w:p w14:paraId="563828B2" w14:textId="7462A823" w:rsidR="00587CAC" w:rsidRPr="00752CD6" w:rsidRDefault="00752CD6" w:rsidP="00AA13D8">
      <w:pPr>
        <w:pStyle w:val="Odstavekseznama"/>
        <w:numPr>
          <w:ilvl w:val="2"/>
          <w:numId w:val="20"/>
        </w:numPr>
      </w:pPr>
      <w:r w:rsidRPr="00E32BD2">
        <w:t xml:space="preserve">Please </w:t>
      </w:r>
      <w:r w:rsidRPr="008216FA">
        <w:rPr>
          <w:b/>
          <w:bCs/>
        </w:rPr>
        <w:t>prioritise the actions</w:t>
      </w:r>
      <w:r w:rsidRPr="00E32BD2">
        <w:t xml:space="preserve"> provided in the</w:t>
      </w:r>
      <w:r>
        <w:t xml:space="preserve"> initial</w:t>
      </w:r>
      <w:r w:rsidRPr="00E32BD2">
        <w:t xml:space="preserve"> </w:t>
      </w:r>
      <w:r>
        <w:t>policy</w:t>
      </w:r>
      <w:r w:rsidRPr="00E32BD2">
        <w:t xml:space="preserve"> paper to reflect how important you find them for </w:t>
      </w:r>
      <w:r w:rsidRPr="001827A0">
        <w:t>your country's</w:t>
      </w:r>
      <w:r w:rsidRPr="00E32BD2">
        <w:t xml:space="preserve"> cooperation in EUSAIR</w:t>
      </w:r>
      <w:r>
        <w:t xml:space="preserve">. </w:t>
      </w:r>
      <w:r w:rsidRPr="008216FA">
        <w:rPr>
          <w:i/>
          <w:iCs/>
          <w:highlight w:val="yellow"/>
        </w:rPr>
        <w:t>(1 being the most important, 3 the least important)</w:t>
      </w:r>
      <w:r w:rsidRPr="008216FA">
        <w:t>.</w:t>
      </w:r>
    </w:p>
    <w:p w14:paraId="437E15EC" w14:textId="77777777" w:rsidR="00587CAC" w:rsidRPr="001A40EC" w:rsidRDefault="00587CAC" w:rsidP="00587CAC">
      <w:pPr>
        <w:spacing w:after="0"/>
      </w:pPr>
    </w:p>
    <w:tbl>
      <w:tblPr>
        <w:tblStyle w:val="Tabelamrea"/>
        <w:tblW w:w="8347" w:type="dxa"/>
        <w:tblInd w:w="720" w:type="dxa"/>
        <w:tblLayout w:type="fixed"/>
        <w:tblLook w:val="04A0" w:firstRow="1" w:lastRow="0" w:firstColumn="1" w:lastColumn="0" w:noHBand="0" w:noVBand="1"/>
      </w:tblPr>
      <w:tblGrid>
        <w:gridCol w:w="409"/>
        <w:gridCol w:w="7938"/>
      </w:tblGrid>
      <w:tr w:rsidR="00752CD6" w14:paraId="07EFFE2C" w14:textId="77777777" w:rsidTr="00AA13D8">
        <w:tc>
          <w:tcPr>
            <w:tcW w:w="409" w:type="dxa"/>
            <w:shd w:val="clear" w:color="auto" w:fill="D9D9D9" w:themeFill="background1" w:themeFillShade="D9"/>
          </w:tcPr>
          <w:p w14:paraId="571BCFBB" w14:textId="07D93816" w:rsidR="00752CD6" w:rsidRPr="00AA13D8" w:rsidRDefault="00752CD6" w:rsidP="00AA13D8">
            <w:pPr>
              <w:ind w:right="57"/>
              <w:rPr>
                <w:b/>
                <w:bCs/>
                <w:sz w:val="20"/>
                <w:szCs w:val="20"/>
              </w:rPr>
            </w:pPr>
          </w:p>
        </w:tc>
        <w:tc>
          <w:tcPr>
            <w:tcW w:w="7938" w:type="dxa"/>
            <w:shd w:val="clear" w:color="auto" w:fill="D9D9D9" w:themeFill="background1" w:themeFillShade="D9"/>
          </w:tcPr>
          <w:p w14:paraId="2AE7568C" w14:textId="77777777" w:rsidR="00752CD6" w:rsidRPr="007315D2" w:rsidRDefault="00752CD6" w:rsidP="004521F3">
            <w:pPr>
              <w:ind w:right="57"/>
              <w:jc w:val="center"/>
              <w:rPr>
                <w:b/>
                <w:bCs/>
                <w:sz w:val="20"/>
                <w:szCs w:val="20"/>
              </w:rPr>
            </w:pPr>
            <w:r w:rsidRPr="007315D2">
              <w:rPr>
                <w:b/>
                <w:bCs/>
                <w:sz w:val="20"/>
                <w:szCs w:val="20"/>
              </w:rPr>
              <w:t>Action</w:t>
            </w:r>
          </w:p>
        </w:tc>
      </w:tr>
      <w:tr w:rsidR="00752CD6" w14:paraId="2F8F1C5B" w14:textId="77777777" w:rsidTr="00AA13D8">
        <w:tc>
          <w:tcPr>
            <w:tcW w:w="409" w:type="dxa"/>
          </w:tcPr>
          <w:p w14:paraId="1CF69223" w14:textId="77777777" w:rsidR="00752CD6" w:rsidRDefault="00752CD6" w:rsidP="00587CAC">
            <w:pPr>
              <w:pStyle w:val="Odstavekseznama"/>
              <w:numPr>
                <w:ilvl w:val="0"/>
                <w:numId w:val="12"/>
              </w:numPr>
              <w:ind w:left="57" w:right="57"/>
              <w:rPr>
                <w:b/>
                <w:bCs/>
                <w:sz w:val="20"/>
                <w:szCs w:val="20"/>
              </w:rPr>
            </w:pPr>
          </w:p>
        </w:tc>
        <w:tc>
          <w:tcPr>
            <w:tcW w:w="7938" w:type="dxa"/>
          </w:tcPr>
          <w:p w14:paraId="129314BC" w14:textId="1A2A418E" w:rsidR="00752CD6" w:rsidRPr="00352F52" w:rsidRDefault="00752CD6" w:rsidP="004521F3">
            <w:pPr>
              <w:pStyle w:val="Odstavekseznama"/>
              <w:ind w:left="0"/>
              <w:rPr>
                <w:bCs/>
                <w:i/>
                <w:iCs/>
                <w:sz w:val="20"/>
                <w:szCs w:val="20"/>
              </w:rPr>
            </w:pPr>
            <w:r w:rsidRPr="00352F52">
              <w:rPr>
                <w:bCs/>
                <w:i/>
                <w:iCs/>
                <w:sz w:val="20"/>
                <w:szCs w:val="20"/>
              </w:rPr>
              <w:t>Action 2.1: Cooperation in deployment of renewable energy sources in the Adriatic-Ionian Region</w:t>
            </w:r>
          </w:p>
        </w:tc>
      </w:tr>
      <w:tr w:rsidR="00752CD6" w14:paraId="1A2D9B93" w14:textId="77777777" w:rsidTr="00AA13D8">
        <w:trPr>
          <w:trHeight w:val="201"/>
        </w:trPr>
        <w:tc>
          <w:tcPr>
            <w:tcW w:w="409" w:type="dxa"/>
          </w:tcPr>
          <w:p w14:paraId="203FA168" w14:textId="77777777" w:rsidR="00752CD6" w:rsidRDefault="00752CD6" w:rsidP="00752CD6">
            <w:pPr>
              <w:pStyle w:val="Odstavekseznama"/>
              <w:numPr>
                <w:ilvl w:val="0"/>
                <w:numId w:val="12"/>
              </w:numPr>
              <w:ind w:left="57" w:right="57"/>
              <w:rPr>
                <w:b/>
                <w:bCs/>
                <w:sz w:val="20"/>
                <w:szCs w:val="20"/>
              </w:rPr>
            </w:pPr>
          </w:p>
        </w:tc>
        <w:tc>
          <w:tcPr>
            <w:tcW w:w="7938" w:type="dxa"/>
          </w:tcPr>
          <w:p w14:paraId="6721E3D0" w14:textId="64898F30" w:rsidR="00752CD6" w:rsidRPr="00352F52" w:rsidRDefault="00752CD6" w:rsidP="00752CD6">
            <w:pPr>
              <w:spacing w:line="259" w:lineRule="auto"/>
              <w:ind w:right="57"/>
              <w:rPr>
                <w:bCs/>
                <w:i/>
                <w:iCs/>
                <w:sz w:val="20"/>
                <w:szCs w:val="20"/>
              </w:rPr>
            </w:pPr>
            <w:r w:rsidRPr="00352F52">
              <w:rPr>
                <w:bCs/>
                <w:i/>
                <w:iCs/>
                <w:sz w:val="20"/>
                <w:szCs w:val="20"/>
              </w:rPr>
              <w:t>Action 2.2: Improve energy efficiency through macro-regional cooperation</w:t>
            </w:r>
          </w:p>
        </w:tc>
      </w:tr>
      <w:tr w:rsidR="00752CD6" w14:paraId="654DEA5F" w14:textId="77777777" w:rsidTr="00AA13D8">
        <w:trPr>
          <w:trHeight w:val="264"/>
        </w:trPr>
        <w:tc>
          <w:tcPr>
            <w:tcW w:w="409" w:type="dxa"/>
          </w:tcPr>
          <w:p w14:paraId="610176D4" w14:textId="77777777" w:rsidR="00752CD6" w:rsidRDefault="00752CD6" w:rsidP="00587CAC">
            <w:pPr>
              <w:pStyle w:val="Odstavekseznama"/>
              <w:numPr>
                <w:ilvl w:val="0"/>
                <w:numId w:val="12"/>
              </w:numPr>
              <w:ind w:left="57" w:right="57"/>
              <w:rPr>
                <w:b/>
                <w:bCs/>
                <w:sz w:val="20"/>
                <w:szCs w:val="20"/>
              </w:rPr>
            </w:pPr>
          </w:p>
        </w:tc>
        <w:tc>
          <w:tcPr>
            <w:tcW w:w="7938" w:type="dxa"/>
          </w:tcPr>
          <w:p w14:paraId="10389236" w14:textId="4E42B16D" w:rsidR="00752CD6" w:rsidRPr="00352F52" w:rsidRDefault="00752CD6" w:rsidP="00352F52">
            <w:pPr>
              <w:ind w:right="57"/>
              <w:rPr>
                <w:bCs/>
                <w:i/>
                <w:iCs/>
                <w:sz w:val="20"/>
                <w:szCs w:val="20"/>
              </w:rPr>
            </w:pPr>
            <w:r>
              <w:rPr>
                <w:bCs/>
                <w:i/>
                <w:iCs/>
                <w:sz w:val="20"/>
                <w:szCs w:val="20"/>
              </w:rPr>
              <w:t xml:space="preserve">Action 2.3: </w:t>
            </w:r>
            <w:r w:rsidRPr="00752CD6">
              <w:rPr>
                <w:bCs/>
                <w:i/>
                <w:iCs/>
                <w:sz w:val="20"/>
                <w:szCs w:val="20"/>
              </w:rPr>
              <w:t>Cooperation on energy technology innovation and hydrogen economy</w:t>
            </w:r>
          </w:p>
        </w:tc>
      </w:tr>
    </w:tbl>
    <w:p w14:paraId="651448C2" w14:textId="77777777" w:rsidR="00587CAC" w:rsidRDefault="00587CAC" w:rsidP="00780D04">
      <w:pPr>
        <w:spacing w:after="0"/>
      </w:pPr>
    </w:p>
    <w:p w14:paraId="7FCEDB2C" w14:textId="77777777" w:rsidR="00377B52" w:rsidRDefault="00377B52" w:rsidP="00F04A9C"/>
    <w:p w14:paraId="7EAC4847" w14:textId="6B5AC258" w:rsidR="00F04A9C" w:rsidRDefault="00BE4898" w:rsidP="00352F52">
      <w:pPr>
        <w:pStyle w:val="Naslov2"/>
        <w:numPr>
          <w:ilvl w:val="2"/>
          <w:numId w:val="20"/>
        </w:numPr>
        <w:rPr>
          <w:rFonts w:asciiTheme="minorHAnsi" w:eastAsiaTheme="minorHAnsi" w:hAnsiTheme="minorHAnsi" w:cstheme="minorBidi"/>
          <w:color w:val="auto"/>
          <w:sz w:val="22"/>
          <w:szCs w:val="22"/>
        </w:rPr>
      </w:pPr>
      <w:r w:rsidRPr="00780D04">
        <w:rPr>
          <w:rFonts w:asciiTheme="minorHAnsi" w:eastAsiaTheme="minorHAnsi" w:hAnsiTheme="minorHAnsi" w:cstheme="minorBidi"/>
          <w:color w:val="auto"/>
          <w:sz w:val="22"/>
          <w:szCs w:val="22"/>
        </w:rPr>
        <w:t>Are there</w:t>
      </w:r>
      <w:r w:rsidR="00F04A9C" w:rsidRPr="00780D04">
        <w:rPr>
          <w:rFonts w:asciiTheme="minorHAnsi" w:eastAsiaTheme="minorHAnsi" w:hAnsiTheme="minorHAnsi" w:cstheme="minorBidi"/>
          <w:color w:val="auto"/>
          <w:sz w:val="22"/>
          <w:szCs w:val="22"/>
        </w:rPr>
        <w:t xml:space="preserve"> any suggestions for reformulation/specification of the </w:t>
      </w:r>
      <w:r w:rsidR="001F1D2B" w:rsidRPr="00780D04">
        <w:rPr>
          <w:rFonts w:asciiTheme="minorHAnsi" w:eastAsiaTheme="minorHAnsi" w:hAnsiTheme="minorHAnsi" w:cstheme="minorBidi"/>
          <w:color w:val="auto"/>
          <w:sz w:val="22"/>
          <w:szCs w:val="22"/>
        </w:rPr>
        <w:t>A</w:t>
      </w:r>
      <w:r w:rsidR="00F04A9C" w:rsidRPr="00780D04">
        <w:rPr>
          <w:rFonts w:asciiTheme="minorHAnsi" w:eastAsiaTheme="minorHAnsi" w:hAnsiTheme="minorHAnsi" w:cstheme="minorBidi"/>
          <w:color w:val="auto"/>
          <w:sz w:val="22"/>
          <w:szCs w:val="22"/>
        </w:rPr>
        <w:t xml:space="preserve">ctions provided in the initial </w:t>
      </w:r>
      <w:r w:rsidR="00EB6BE7" w:rsidRPr="00780D04">
        <w:rPr>
          <w:rFonts w:asciiTheme="minorHAnsi" w:eastAsiaTheme="minorHAnsi" w:hAnsiTheme="minorHAnsi" w:cstheme="minorBidi"/>
          <w:color w:val="auto"/>
          <w:sz w:val="22"/>
          <w:szCs w:val="22"/>
        </w:rPr>
        <w:t>policy</w:t>
      </w:r>
      <w:r w:rsidR="00F04A9C" w:rsidRPr="00780D04">
        <w:rPr>
          <w:rFonts w:asciiTheme="minorHAnsi" w:eastAsiaTheme="minorHAnsi" w:hAnsiTheme="minorHAnsi" w:cstheme="minorBidi"/>
          <w:color w:val="auto"/>
          <w:sz w:val="22"/>
          <w:szCs w:val="22"/>
        </w:rPr>
        <w:t xml:space="preserve"> paper. </w:t>
      </w:r>
    </w:p>
    <w:p w14:paraId="77BD0BAE" w14:textId="77777777" w:rsidR="000970A4" w:rsidRPr="000970A4" w:rsidRDefault="000970A4" w:rsidP="00780D04">
      <w:pPr>
        <w:spacing w:after="0"/>
      </w:pPr>
    </w:p>
    <w:tbl>
      <w:tblPr>
        <w:tblStyle w:val="Tabelamrea"/>
        <w:tblW w:w="0" w:type="auto"/>
        <w:tblInd w:w="720" w:type="dxa"/>
        <w:tblLook w:val="04A0" w:firstRow="1" w:lastRow="0" w:firstColumn="1" w:lastColumn="0" w:noHBand="0" w:noVBand="1"/>
      </w:tblPr>
      <w:tblGrid>
        <w:gridCol w:w="8342"/>
      </w:tblGrid>
      <w:tr w:rsidR="00F04A9C" w14:paraId="50DE249C" w14:textId="77777777" w:rsidTr="00BC5D33">
        <w:tc>
          <w:tcPr>
            <w:tcW w:w="9062" w:type="dxa"/>
          </w:tcPr>
          <w:p w14:paraId="325DBB10" w14:textId="77777777" w:rsidR="00F04A9C" w:rsidRDefault="00F04A9C" w:rsidP="00BC5D33">
            <w:pPr>
              <w:pStyle w:val="Odstavekseznama"/>
              <w:ind w:left="360"/>
            </w:pPr>
          </w:p>
        </w:tc>
      </w:tr>
    </w:tbl>
    <w:p w14:paraId="1B8B4785" w14:textId="77777777" w:rsidR="004877EB" w:rsidRDefault="004877EB" w:rsidP="00961B19"/>
    <w:p w14:paraId="5B64D8E6" w14:textId="1EAAB3E8" w:rsidR="002E11E1" w:rsidRDefault="004877EB" w:rsidP="00352F52">
      <w:pPr>
        <w:pStyle w:val="Naslov2"/>
        <w:numPr>
          <w:ilvl w:val="2"/>
          <w:numId w:val="20"/>
        </w:numPr>
        <w:rPr>
          <w:rFonts w:asciiTheme="minorHAnsi" w:eastAsiaTheme="minorHAnsi" w:hAnsiTheme="minorHAnsi" w:cstheme="minorBidi"/>
          <w:color w:val="auto"/>
          <w:sz w:val="22"/>
          <w:szCs w:val="22"/>
        </w:rPr>
      </w:pPr>
      <w:r w:rsidRPr="00780D04">
        <w:rPr>
          <w:rFonts w:asciiTheme="minorHAnsi" w:eastAsiaTheme="minorHAnsi" w:hAnsiTheme="minorHAnsi" w:cstheme="minorBidi"/>
          <w:color w:val="auto"/>
          <w:sz w:val="22"/>
          <w:szCs w:val="22"/>
        </w:rPr>
        <w:t xml:space="preserve">Are there any </w:t>
      </w:r>
      <w:r w:rsidR="00F04A9C" w:rsidRPr="00780D04">
        <w:rPr>
          <w:rFonts w:asciiTheme="minorHAnsi" w:eastAsiaTheme="minorHAnsi" w:hAnsiTheme="minorHAnsi" w:cstheme="minorBidi"/>
          <w:color w:val="auto"/>
          <w:sz w:val="22"/>
          <w:szCs w:val="22"/>
        </w:rPr>
        <w:t>additional ideas</w:t>
      </w:r>
      <w:r w:rsidR="001C0CDF">
        <w:rPr>
          <w:rFonts w:asciiTheme="minorHAnsi" w:eastAsiaTheme="minorHAnsi" w:hAnsiTheme="minorHAnsi" w:cstheme="minorBidi"/>
          <w:color w:val="auto"/>
          <w:sz w:val="22"/>
          <w:szCs w:val="22"/>
        </w:rPr>
        <w:t xml:space="preserve"> for Actions to address</w:t>
      </w:r>
      <w:r w:rsidR="00F04A9C" w:rsidRPr="00780D04">
        <w:rPr>
          <w:rFonts w:asciiTheme="minorHAnsi" w:eastAsiaTheme="minorHAnsi" w:hAnsiTheme="minorHAnsi" w:cstheme="minorBidi"/>
          <w:color w:val="auto"/>
          <w:sz w:val="22"/>
          <w:szCs w:val="22"/>
        </w:rPr>
        <w:t xml:space="preserve"> the listed challenges on the EUSAIR level concerning the thematic field of Topic </w:t>
      </w:r>
      <w:r w:rsidRPr="00780D04">
        <w:rPr>
          <w:rFonts w:asciiTheme="minorHAnsi" w:eastAsiaTheme="minorHAnsi" w:hAnsiTheme="minorHAnsi" w:cstheme="minorBidi"/>
          <w:color w:val="auto"/>
          <w:sz w:val="22"/>
          <w:szCs w:val="22"/>
        </w:rPr>
        <w:t>2?</w:t>
      </w:r>
      <w:r w:rsidR="00F04A9C" w:rsidRPr="00780D04">
        <w:rPr>
          <w:rFonts w:asciiTheme="minorHAnsi" w:eastAsiaTheme="minorHAnsi" w:hAnsiTheme="minorHAnsi" w:cstheme="minorBidi"/>
          <w:color w:val="auto"/>
          <w:sz w:val="22"/>
          <w:szCs w:val="22"/>
        </w:rPr>
        <w:t xml:space="preserve"> Please remain within the parameters of macro-regional relevance, EU policies compliance and EUSAIR territory and scope. </w:t>
      </w:r>
    </w:p>
    <w:p w14:paraId="0CA9A1C5" w14:textId="4DCD633C" w:rsidR="00F04A9C" w:rsidRPr="00352F52" w:rsidRDefault="00F04A9C" w:rsidP="00352F52">
      <w:pPr>
        <w:pStyle w:val="Naslov2"/>
        <w:ind w:left="720"/>
        <w:rPr>
          <w:rFonts w:asciiTheme="minorHAnsi" w:eastAsiaTheme="minorHAnsi" w:hAnsiTheme="minorHAnsi" w:cstheme="minorBidi"/>
          <w:color w:val="auto"/>
          <w:sz w:val="22"/>
          <w:szCs w:val="22"/>
        </w:rPr>
      </w:pPr>
      <w:r w:rsidRPr="000970A4">
        <w:rPr>
          <w:rFonts w:asciiTheme="minorHAnsi" w:eastAsiaTheme="minorHAnsi" w:hAnsiTheme="minorHAnsi" w:cstheme="minorBidi"/>
          <w:color w:val="auto"/>
          <w:sz w:val="22"/>
          <w:szCs w:val="22"/>
        </w:rPr>
        <w:t xml:space="preserve">  </w:t>
      </w:r>
    </w:p>
    <w:tbl>
      <w:tblPr>
        <w:tblStyle w:val="Tabelamrea"/>
        <w:tblW w:w="0" w:type="auto"/>
        <w:tblInd w:w="720" w:type="dxa"/>
        <w:tblLook w:val="04A0" w:firstRow="1" w:lastRow="0" w:firstColumn="1" w:lastColumn="0" w:noHBand="0" w:noVBand="1"/>
      </w:tblPr>
      <w:tblGrid>
        <w:gridCol w:w="8342"/>
      </w:tblGrid>
      <w:tr w:rsidR="00F04A9C" w14:paraId="0A912E0B" w14:textId="77777777" w:rsidTr="00BC5D33">
        <w:tc>
          <w:tcPr>
            <w:tcW w:w="9062" w:type="dxa"/>
          </w:tcPr>
          <w:p w14:paraId="62AFBA76" w14:textId="77777777" w:rsidR="00F04A9C" w:rsidRDefault="00F04A9C" w:rsidP="00BC5D33">
            <w:pPr>
              <w:pStyle w:val="Odstavekseznama"/>
              <w:ind w:left="360"/>
            </w:pPr>
          </w:p>
        </w:tc>
      </w:tr>
    </w:tbl>
    <w:p w14:paraId="7EA0020E" w14:textId="22389CF7" w:rsidR="00F04A9C" w:rsidRDefault="00F04A9C" w:rsidP="00F04A9C">
      <w:pPr>
        <w:pStyle w:val="Odstavekseznama"/>
      </w:pPr>
    </w:p>
    <w:p w14:paraId="70EA6560" w14:textId="18A3BEC9" w:rsidR="006148DD" w:rsidRDefault="006148DD" w:rsidP="00F04A9C">
      <w:pPr>
        <w:pStyle w:val="Odstavekseznama"/>
      </w:pPr>
    </w:p>
    <w:p w14:paraId="5CDADC3E" w14:textId="77777777" w:rsidR="00352F52" w:rsidRDefault="00352F52" w:rsidP="00F04A9C">
      <w:pPr>
        <w:pStyle w:val="Odstavekseznama"/>
      </w:pPr>
    </w:p>
    <w:p w14:paraId="7394E3BD" w14:textId="26EACC13" w:rsidR="006148DD" w:rsidRDefault="006148DD" w:rsidP="00352F52">
      <w:pPr>
        <w:pStyle w:val="Naslov2"/>
        <w:numPr>
          <w:ilvl w:val="0"/>
          <w:numId w:val="46"/>
        </w:numPr>
        <w:rPr>
          <w:rStyle w:val="Naslov2Znak"/>
        </w:rPr>
      </w:pPr>
      <w:r w:rsidRPr="006148DD">
        <w:rPr>
          <w:rStyle w:val="Naslov2Znak"/>
        </w:rPr>
        <w:t>Other challenges and Actions</w:t>
      </w:r>
    </w:p>
    <w:p w14:paraId="31F1AD3E" w14:textId="77777777" w:rsidR="006148DD" w:rsidRDefault="006148DD" w:rsidP="006148DD"/>
    <w:p w14:paraId="1F8FE670" w14:textId="25106FA4" w:rsidR="006148DD" w:rsidRPr="00352F52" w:rsidRDefault="006148DD" w:rsidP="00352F52">
      <w:pPr>
        <w:pStyle w:val="Naslov2"/>
        <w:numPr>
          <w:ilvl w:val="2"/>
          <w:numId w:val="48"/>
        </w:numPr>
        <w:rPr>
          <w:rFonts w:asciiTheme="minorHAnsi" w:eastAsiaTheme="minorHAnsi" w:hAnsiTheme="minorHAnsi" w:cstheme="minorBidi"/>
          <w:color w:val="auto"/>
          <w:sz w:val="22"/>
          <w:szCs w:val="22"/>
        </w:rPr>
      </w:pPr>
      <w:r w:rsidRPr="00352F52">
        <w:rPr>
          <w:rFonts w:asciiTheme="minorHAnsi" w:eastAsiaTheme="minorHAnsi" w:hAnsiTheme="minorHAnsi" w:cstheme="minorBidi"/>
          <w:color w:val="auto"/>
          <w:sz w:val="22"/>
          <w:szCs w:val="22"/>
        </w:rPr>
        <w:t xml:space="preserve">Do you have any additional ideas for Challenges or Actions to be addressed by EUSAIR concerning the Pillar </w:t>
      </w:r>
      <w:r w:rsidR="00FC307D" w:rsidRPr="00352F52">
        <w:rPr>
          <w:rFonts w:asciiTheme="minorHAnsi" w:eastAsiaTheme="minorHAnsi" w:hAnsiTheme="minorHAnsi" w:cstheme="minorBidi"/>
          <w:color w:val="auto"/>
          <w:sz w:val="22"/>
          <w:szCs w:val="22"/>
        </w:rPr>
        <w:t>2 E</w:t>
      </w:r>
      <w:r w:rsidR="00352F52">
        <w:rPr>
          <w:rFonts w:asciiTheme="minorHAnsi" w:eastAsiaTheme="minorHAnsi" w:hAnsiTheme="minorHAnsi" w:cstheme="minorBidi"/>
          <w:color w:val="auto"/>
          <w:sz w:val="22"/>
          <w:szCs w:val="22"/>
        </w:rPr>
        <w:t>nergy networks</w:t>
      </w:r>
      <w:r w:rsidRPr="00352F52">
        <w:rPr>
          <w:rFonts w:asciiTheme="minorHAnsi" w:eastAsiaTheme="minorHAnsi" w:hAnsiTheme="minorHAnsi" w:cstheme="minorBidi"/>
          <w:color w:val="auto"/>
          <w:sz w:val="22"/>
          <w:szCs w:val="22"/>
        </w:rPr>
        <w:t xml:space="preserve">, not already included under </w:t>
      </w:r>
      <w:r w:rsidR="00FC307D" w:rsidRPr="00352F52">
        <w:rPr>
          <w:rFonts w:asciiTheme="minorHAnsi" w:eastAsiaTheme="minorHAnsi" w:hAnsiTheme="minorHAnsi" w:cstheme="minorBidi"/>
          <w:color w:val="auto"/>
          <w:sz w:val="22"/>
          <w:szCs w:val="22"/>
        </w:rPr>
        <w:t xml:space="preserve">the above mentioned </w:t>
      </w:r>
      <w:r w:rsidRPr="00352F52">
        <w:rPr>
          <w:rFonts w:asciiTheme="minorHAnsi" w:eastAsiaTheme="minorHAnsi" w:hAnsiTheme="minorHAnsi" w:cstheme="minorBidi"/>
          <w:color w:val="auto"/>
          <w:sz w:val="22"/>
          <w:szCs w:val="22"/>
        </w:rPr>
        <w:t>Topic</w:t>
      </w:r>
      <w:r w:rsidR="00FC307D" w:rsidRPr="00352F52">
        <w:rPr>
          <w:rFonts w:asciiTheme="minorHAnsi" w:eastAsiaTheme="minorHAnsi" w:hAnsiTheme="minorHAnsi" w:cstheme="minorBidi"/>
          <w:color w:val="auto"/>
          <w:sz w:val="22"/>
          <w:szCs w:val="22"/>
        </w:rPr>
        <w:t>s</w:t>
      </w:r>
      <w:r w:rsidRPr="00352F52">
        <w:rPr>
          <w:rFonts w:asciiTheme="minorHAnsi" w:eastAsiaTheme="minorHAnsi" w:hAnsiTheme="minorHAnsi" w:cstheme="minorBidi"/>
          <w:color w:val="auto"/>
          <w:sz w:val="22"/>
          <w:szCs w:val="22"/>
        </w:rPr>
        <w:t xml:space="preserve">? Please remain within the parameters of macro-regional relevance, EU policies compliance and EUSAIR territory and scope.   </w:t>
      </w:r>
    </w:p>
    <w:p w14:paraId="273F550E" w14:textId="77777777" w:rsidR="006148DD" w:rsidRPr="00F24F62" w:rsidRDefault="006148DD" w:rsidP="006148DD">
      <w:pPr>
        <w:pStyle w:val="Naslov2"/>
        <w:spacing w:before="0"/>
        <w:ind w:left="720"/>
        <w:rPr>
          <w:rFonts w:asciiTheme="minorHAnsi" w:eastAsiaTheme="minorHAnsi" w:hAnsiTheme="minorHAnsi" w:cstheme="minorBidi"/>
          <w:color w:val="auto"/>
          <w:sz w:val="22"/>
          <w:szCs w:val="22"/>
        </w:rPr>
      </w:pPr>
    </w:p>
    <w:tbl>
      <w:tblPr>
        <w:tblStyle w:val="Tabelamrea"/>
        <w:tblW w:w="0" w:type="auto"/>
        <w:tblInd w:w="720" w:type="dxa"/>
        <w:tblLook w:val="04A0" w:firstRow="1" w:lastRow="0" w:firstColumn="1" w:lastColumn="0" w:noHBand="0" w:noVBand="1"/>
      </w:tblPr>
      <w:tblGrid>
        <w:gridCol w:w="8342"/>
      </w:tblGrid>
      <w:tr w:rsidR="006148DD" w14:paraId="21A3CF33" w14:textId="77777777" w:rsidTr="00F24F62">
        <w:tc>
          <w:tcPr>
            <w:tcW w:w="9062" w:type="dxa"/>
          </w:tcPr>
          <w:p w14:paraId="43AEBD5F" w14:textId="77777777" w:rsidR="006148DD" w:rsidRDefault="006148DD" w:rsidP="00F24F62">
            <w:pPr>
              <w:pStyle w:val="Odstavekseznama"/>
              <w:ind w:left="360"/>
            </w:pPr>
          </w:p>
        </w:tc>
      </w:tr>
    </w:tbl>
    <w:p w14:paraId="03951939" w14:textId="09F540AE" w:rsidR="00AA13D8" w:rsidRPr="00AA13D8" w:rsidRDefault="00AA13D8" w:rsidP="00AA13D8">
      <w:pPr>
        <w:tabs>
          <w:tab w:val="left" w:pos="5055"/>
        </w:tabs>
      </w:pPr>
      <w:r>
        <w:tab/>
      </w:r>
    </w:p>
    <w:sectPr w:rsidR="00AA13D8" w:rsidRPr="00AA13D8" w:rsidSect="006C5DED">
      <w:headerReference w:type="default" r:id="rId8"/>
      <w:footerReference w:type="default" r:id="rId9"/>
      <w:pgSz w:w="11906" w:h="16838"/>
      <w:pgMar w:top="15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76165" w14:textId="77777777" w:rsidR="005E1D22" w:rsidRDefault="005E1D22" w:rsidP="00D6797E">
      <w:pPr>
        <w:spacing w:after="0" w:line="240" w:lineRule="auto"/>
      </w:pPr>
      <w:r>
        <w:separator/>
      </w:r>
    </w:p>
  </w:endnote>
  <w:endnote w:type="continuationSeparator" w:id="0">
    <w:p w14:paraId="0615C2AB" w14:textId="77777777" w:rsidR="005E1D22" w:rsidRDefault="005E1D22" w:rsidP="00D6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39185"/>
      <w:docPartObj>
        <w:docPartGallery w:val="Page Numbers (Bottom of Page)"/>
        <w:docPartUnique/>
      </w:docPartObj>
    </w:sdtPr>
    <w:sdtEndPr>
      <w:rPr>
        <w:noProof/>
      </w:rPr>
    </w:sdtEndPr>
    <w:sdtContent>
      <w:p w14:paraId="5F138D1B" w14:textId="3D1ADC0C" w:rsidR="00F34E19" w:rsidRDefault="00F34E19">
        <w:pPr>
          <w:pStyle w:val="Noga"/>
          <w:jc w:val="right"/>
        </w:pPr>
        <w:r>
          <w:fldChar w:fldCharType="begin"/>
        </w:r>
        <w:r>
          <w:instrText xml:space="preserve"> PAGE   \* MERGEFORMAT </w:instrText>
        </w:r>
        <w:r>
          <w:fldChar w:fldCharType="separate"/>
        </w:r>
        <w:r w:rsidR="008A5397">
          <w:rPr>
            <w:noProof/>
          </w:rPr>
          <w:t>2</w:t>
        </w:r>
        <w:r>
          <w:rPr>
            <w:noProof/>
          </w:rPr>
          <w:fldChar w:fldCharType="end"/>
        </w:r>
      </w:p>
    </w:sdtContent>
  </w:sdt>
  <w:p w14:paraId="269A44E8" w14:textId="77777777" w:rsidR="00F34E19" w:rsidRDefault="00F34E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F2992" w14:textId="77777777" w:rsidR="005E1D22" w:rsidRDefault="005E1D22" w:rsidP="00D6797E">
      <w:pPr>
        <w:spacing w:after="0" w:line="240" w:lineRule="auto"/>
      </w:pPr>
      <w:r>
        <w:separator/>
      </w:r>
    </w:p>
  </w:footnote>
  <w:footnote w:type="continuationSeparator" w:id="0">
    <w:p w14:paraId="0DA0633B" w14:textId="77777777" w:rsidR="005E1D22" w:rsidRDefault="005E1D22" w:rsidP="00D6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5DED" w14:paraId="4CA29A1A" w14:textId="77777777" w:rsidTr="006C5DED">
      <w:tc>
        <w:tcPr>
          <w:tcW w:w="4531" w:type="dxa"/>
        </w:tcPr>
        <w:p w14:paraId="33DD6140" w14:textId="25FA6C76" w:rsidR="006C5DED" w:rsidRDefault="006C5DED" w:rsidP="006C5DED">
          <w:pPr>
            <w:pStyle w:val="Glava"/>
          </w:pPr>
          <w:r w:rsidRPr="00A81216">
            <w:rPr>
              <w:rFonts w:ascii="Times New Roman" w:eastAsia="Times New Roman" w:hAnsi="Times New Roman"/>
              <w:noProof/>
              <w:sz w:val="24"/>
              <w:szCs w:val="24"/>
              <w:lang w:val="sl-SI" w:eastAsia="sl-SI"/>
            </w:rPr>
            <w:drawing>
              <wp:inline distT="0" distB="0" distL="0" distR="0" wp14:anchorId="131FB9B2" wp14:editId="43239870">
                <wp:extent cx="1485900" cy="657225"/>
                <wp:effectExtent l="0" t="0" r="0" b="0"/>
                <wp:docPr id="5"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EE89B82" w14:textId="6C6854A8" w:rsidR="006C5DED" w:rsidRDefault="006C5DED" w:rsidP="006C5DED">
          <w:pPr>
            <w:pStyle w:val="Glava"/>
            <w:jc w:val="right"/>
          </w:pPr>
          <w:r w:rsidRPr="00A81216">
            <w:rPr>
              <w:rFonts w:ascii="Times New Roman" w:eastAsia="Times New Roman" w:hAnsi="Times New Roman"/>
              <w:noProof/>
              <w:sz w:val="24"/>
              <w:szCs w:val="24"/>
              <w:lang w:val="sl-SI" w:eastAsia="sl-SI"/>
            </w:rPr>
            <w:drawing>
              <wp:inline distT="0" distB="0" distL="0" distR="0" wp14:anchorId="79849ECC" wp14:editId="6FCCFC5B">
                <wp:extent cx="2466975" cy="790575"/>
                <wp:effectExtent l="0" t="0" r="0" b="0"/>
                <wp:docPr id="6" name="Slika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2986128D" w14:textId="77777777" w:rsidR="00F34E19" w:rsidRDefault="00D6797E" w:rsidP="00D6797E">
    <w:pPr>
      <w:pStyle w:val="Glava"/>
      <w:jc w:val="right"/>
    </w:pPr>
    <w:r w:rsidRPr="00B655F9">
      <w:t>EUSAIR A</w:t>
    </w:r>
    <w:r w:rsidR="00CC682D">
      <w:t xml:space="preserve">ction </w:t>
    </w:r>
    <w:r w:rsidRPr="00B655F9">
      <w:t>P</w:t>
    </w:r>
    <w:r w:rsidR="00CC682D">
      <w:t>lan</w:t>
    </w:r>
    <w:r w:rsidRPr="00B655F9">
      <w:t xml:space="preserve"> revision</w:t>
    </w:r>
  </w:p>
  <w:p w14:paraId="626C65EE" w14:textId="454958A1" w:rsidR="00D6797E" w:rsidRPr="00B655F9" w:rsidRDefault="00DD5169" w:rsidP="00D6797E">
    <w:pPr>
      <w:pStyle w:val="Glava"/>
      <w:jc w:val="right"/>
    </w:pPr>
    <w:r>
      <w:t>T</w:t>
    </w:r>
    <w:r w:rsidR="00D6797E">
      <w:t xml:space="preserve">hematic </w:t>
    </w:r>
    <w:r w:rsidR="00FB5D4D">
      <w:t>consultation</w:t>
    </w:r>
    <w:r w:rsidR="00D6797E" w:rsidRPr="00B655F9">
      <w:t xml:space="preserve"> </w:t>
    </w:r>
    <w:r w:rsidR="00D6797E">
      <w:t xml:space="preserve">questionnaire </w:t>
    </w:r>
    <w:r w:rsidR="00D6797E" w:rsidRPr="00B655F9">
      <w:t xml:space="preserve">for </w:t>
    </w:r>
    <w:r w:rsidR="008216FA">
      <w:t xml:space="preserve">Pillar 2 Energy </w:t>
    </w:r>
    <w:r>
      <w:t>Sub-Group</w:t>
    </w:r>
  </w:p>
  <w:p w14:paraId="4E37193E" w14:textId="77777777" w:rsidR="00D6797E" w:rsidRDefault="00D679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20E"/>
    <w:multiLevelType w:val="multilevel"/>
    <w:tmpl w:val="ED241B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9083E"/>
    <w:multiLevelType w:val="hybridMultilevel"/>
    <w:tmpl w:val="41946020"/>
    <w:lvl w:ilvl="0" w:tplc="02F0323C">
      <w:start w:val="1"/>
      <w:numFmt w:val="decimal"/>
      <w:lvlText w:val="%1."/>
      <w:lvlJc w:val="left"/>
      <w:pPr>
        <w:ind w:left="720" w:hanging="36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B3B10"/>
    <w:multiLevelType w:val="hybridMultilevel"/>
    <w:tmpl w:val="B4F840AE"/>
    <w:lvl w:ilvl="0" w:tplc="FFFFFFFF">
      <w:start w:val="1"/>
      <w:numFmt w:val="decimal"/>
      <w:lvlText w:val="%1."/>
      <w:lvlJc w:val="left"/>
      <w:pPr>
        <w:ind w:left="720" w:hanging="360"/>
      </w:pPr>
      <w:rPr>
        <w:rFonts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2A772D"/>
    <w:multiLevelType w:val="hybridMultilevel"/>
    <w:tmpl w:val="A36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84E58"/>
    <w:multiLevelType w:val="multilevel"/>
    <w:tmpl w:val="A99EBB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D028E"/>
    <w:multiLevelType w:val="hybridMultilevel"/>
    <w:tmpl w:val="F4A27762"/>
    <w:lvl w:ilvl="0" w:tplc="08090001">
      <w:start w:val="1"/>
      <w:numFmt w:val="bullet"/>
      <w:lvlText w:val=""/>
      <w:lvlJc w:val="left"/>
      <w:pPr>
        <w:ind w:left="720" w:hanging="360"/>
      </w:pPr>
      <w:rPr>
        <w:rFonts w:ascii="Symbol" w:hAnsi="Symbol" w:hint="default"/>
      </w:rPr>
    </w:lvl>
    <w:lvl w:ilvl="1" w:tplc="52D2BF5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B7501"/>
    <w:multiLevelType w:val="hybridMultilevel"/>
    <w:tmpl w:val="EF84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D06EF"/>
    <w:multiLevelType w:val="hybridMultilevel"/>
    <w:tmpl w:val="C85296B0"/>
    <w:lvl w:ilvl="0" w:tplc="0F4E956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43B30"/>
    <w:multiLevelType w:val="hybridMultilevel"/>
    <w:tmpl w:val="6DBC21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0B7965"/>
    <w:multiLevelType w:val="hybridMultilevel"/>
    <w:tmpl w:val="F9CE14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3D1C62"/>
    <w:multiLevelType w:val="hybridMultilevel"/>
    <w:tmpl w:val="0AAA8F8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F4BF2"/>
    <w:multiLevelType w:val="hybridMultilevel"/>
    <w:tmpl w:val="88D849F0"/>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2" w15:restartNumberingAfterBreak="0">
    <w:nsid w:val="30DE6651"/>
    <w:multiLevelType w:val="hybridMultilevel"/>
    <w:tmpl w:val="11507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7308A"/>
    <w:multiLevelType w:val="hybridMultilevel"/>
    <w:tmpl w:val="2738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915CC"/>
    <w:multiLevelType w:val="hybridMultilevel"/>
    <w:tmpl w:val="D5DE4AE0"/>
    <w:lvl w:ilvl="0" w:tplc="04090001">
      <w:start w:val="1"/>
      <w:numFmt w:val="bullet"/>
      <w:lvlText w:val=""/>
      <w:lvlJc w:val="left"/>
      <w:pPr>
        <w:ind w:left="720" w:hanging="360"/>
      </w:pPr>
      <w:rPr>
        <w:rFonts w:ascii="Symbol" w:hAnsi="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91956"/>
    <w:multiLevelType w:val="hybridMultilevel"/>
    <w:tmpl w:val="50764F92"/>
    <w:lvl w:ilvl="0" w:tplc="5E704DE4">
      <w:start w:val="5"/>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813C20"/>
    <w:multiLevelType w:val="hybridMultilevel"/>
    <w:tmpl w:val="D9623A9E"/>
    <w:lvl w:ilvl="0" w:tplc="1160D0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B035EF"/>
    <w:multiLevelType w:val="hybridMultilevel"/>
    <w:tmpl w:val="82EE584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650E1EB0">
      <w:numFmt w:val="bullet"/>
      <w:lvlText w:val="•"/>
      <w:lvlJc w:val="left"/>
      <w:pPr>
        <w:ind w:left="3240" w:hanging="72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3B5866"/>
    <w:multiLevelType w:val="hybridMultilevel"/>
    <w:tmpl w:val="618E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C03BC"/>
    <w:multiLevelType w:val="hybridMultilevel"/>
    <w:tmpl w:val="FA6E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C1DF9"/>
    <w:multiLevelType w:val="multilevel"/>
    <w:tmpl w:val="0840E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556E8E"/>
    <w:multiLevelType w:val="multilevel"/>
    <w:tmpl w:val="F3F48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Restart w:val="1"/>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974AA9"/>
    <w:multiLevelType w:val="hybridMultilevel"/>
    <w:tmpl w:val="EBA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7D3ED3"/>
    <w:multiLevelType w:val="hybridMultilevel"/>
    <w:tmpl w:val="B0C033D8"/>
    <w:lvl w:ilvl="0" w:tplc="04090001">
      <w:start w:val="1"/>
      <w:numFmt w:val="bullet"/>
      <w:lvlText w:val=""/>
      <w:lvlJc w:val="left"/>
      <w:pPr>
        <w:ind w:left="720" w:hanging="360"/>
      </w:pPr>
      <w:rPr>
        <w:rFonts w:ascii="Symbol" w:hAnsi="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A09BC"/>
    <w:multiLevelType w:val="hybridMultilevel"/>
    <w:tmpl w:val="418619B4"/>
    <w:lvl w:ilvl="0" w:tplc="6C30FE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E1762D"/>
    <w:multiLevelType w:val="multilevel"/>
    <w:tmpl w:val="F508B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ED5E3E"/>
    <w:multiLevelType w:val="hybridMultilevel"/>
    <w:tmpl w:val="87986FF8"/>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7" w15:restartNumberingAfterBreak="0">
    <w:nsid w:val="55DD3955"/>
    <w:multiLevelType w:val="multilevel"/>
    <w:tmpl w:val="7E38C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3C6978"/>
    <w:multiLevelType w:val="hybridMultilevel"/>
    <w:tmpl w:val="B902F30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9" w15:restartNumberingAfterBreak="0">
    <w:nsid w:val="596F5307"/>
    <w:multiLevelType w:val="hybridMultilevel"/>
    <w:tmpl w:val="DDDC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30696"/>
    <w:multiLevelType w:val="hybridMultilevel"/>
    <w:tmpl w:val="93268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624AF"/>
    <w:multiLevelType w:val="hybridMultilevel"/>
    <w:tmpl w:val="21CCF4EC"/>
    <w:lvl w:ilvl="0" w:tplc="04090001">
      <w:start w:val="1"/>
      <w:numFmt w:val="bullet"/>
      <w:lvlText w:val=""/>
      <w:lvlJc w:val="left"/>
      <w:pPr>
        <w:ind w:left="914" w:hanging="360"/>
      </w:pPr>
      <w:rPr>
        <w:rFonts w:ascii="Symbol" w:hAnsi="Symbol" w:hint="default"/>
        <w:w w:val="99"/>
        <w:sz w:val="20"/>
        <w:szCs w:val="20"/>
        <w:lang w:val="en-US" w:eastAsia="en-US" w:bidi="ar-SA"/>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32" w15:restartNumberingAfterBreak="0">
    <w:nsid w:val="607C4990"/>
    <w:multiLevelType w:val="multilevel"/>
    <w:tmpl w:val="9F4C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2244029"/>
    <w:multiLevelType w:val="hybridMultilevel"/>
    <w:tmpl w:val="6ACC73D4"/>
    <w:lvl w:ilvl="0" w:tplc="04090001">
      <w:start w:val="1"/>
      <w:numFmt w:val="bullet"/>
      <w:lvlText w:val=""/>
      <w:lvlJc w:val="left"/>
      <w:pPr>
        <w:ind w:left="720" w:hanging="360"/>
      </w:pPr>
      <w:rPr>
        <w:rFonts w:ascii="Symbol" w:hAnsi="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8614B"/>
    <w:multiLevelType w:val="hybridMultilevel"/>
    <w:tmpl w:val="32B251DA"/>
    <w:lvl w:ilvl="0" w:tplc="B322951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D81E3F"/>
    <w:multiLevelType w:val="hybridMultilevel"/>
    <w:tmpl w:val="3ED02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A563FB"/>
    <w:multiLevelType w:val="multilevel"/>
    <w:tmpl w:val="B73290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5D1AE9"/>
    <w:multiLevelType w:val="hybridMultilevel"/>
    <w:tmpl w:val="0BBEEB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5F4203"/>
    <w:multiLevelType w:val="hybridMultilevel"/>
    <w:tmpl w:val="68145E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0646C7"/>
    <w:multiLevelType w:val="hybridMultilevel"/>
    <w:tmpl w:val="B4F840AE"/>
    <w:lvl w:ilvl="0" w:tplc="B5CE4E2E">
      <w:start w:val="1"/>
      <w:numFmt w:val="decimal"/>
      <w:lvlText w:val="%1."/>
      <w:lvlJc w:val="left"/>
      <w:pPr>
        <w:ind w:left="72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305EA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33605E"/>
    <w:multiLevelType w:val="hybridMultilevel"/>
    <w:tmpl w:val="6E40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6F7B7A"/>
    <w:multiLevelType w:val="hybridMultilevel"/>
    <w:tmpl w:val="A2EA72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BF11DF"/>
    <w:multiLevelType w:val="hybridMultilevel"/>
    <w:tmpl w:val="8BC46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38"/>
  </w:num>
  <w:num w:numId="4">
    <w:abstractNumId w:val="13"/>
  </w:num>
  <w:num w:numId="5">
    <w:abstractNumId w:val="5"/>
  </w:num>
  <w:num w:numId="6">
    <w:abstractNumId w:val="26"/>
  </w:num>
  <w:num w:numId="7">
    <w:abstractNumId w:val="19"/>
  </w:num>
  <w:num w:numId="8">
    <w:abstractNumId w:val="15"/>
  </w:num>
  <w:num w:numId="9">
    <w:abstractNumId w:val="8"/>
  </w:num>
  <w:num w:numId="10">
    <w:abstractNumId w:val="22"/>
  </w:num>
  <w:num w:numId="11">
    <w:abstractNumId w:val="42"/>
  </w:num>
  <w:num w:numId="12">
    <w:abstractNumId w:val="16"/>
  </w:num>
  <w:num w:numId="13">
    <w:abstractNumId w:val="9"/>
  </w:num>
  <w:num w:numId="14">
    <w:abstractNumId w:val="37"/>
  </w:num>
  <w:num w:numId="15">
    <w:abstractNumId w:val="34"/>
  </w:num>
  <w:num w:numId="16">
    <w:abstractNumId w:val="4"/>
  </w:num>
  <w:num w:numId="17">
    <w:abstractNumId w:val="30"/>
  </w:num>
  <w:num w:numId="18">
    <w:abstractNumId w:val="17"/>
  </w:num>
  <w:num w:numId="19">
    <w:abstractNumId w:val="36"/>
  </w:num>
  <w:num w:numId="20">
    <w:abstractNumId w:val="0"/>
  </w:num>
  <w:num w:numId="21">
    <w:abstractNumId w:val="24"/>
  </w:num>
  <w:num w:numId="22">
    <w:abstractNumId w:val="40"/>
  </w:num>
  <w:num w:numId="23">
    <w:abstractNumId w:val="7"/>
  </w:num>
  <w:num w:numId="24">
    <w:abstractNumId w:val="27"/>
  </w:num>
  <w:num w:numId="25">
    <w:abstractNumId w:val="32"/>
  </w:num>
  <w:num w:numId="26">
    <w:abstractNumId w:val="25"/>
  </w:num>
  <w:num w:numId="27">
    <w:abstractNumId w:val="12"/>
  </w:num>
  <w:num w:numId="28">
    <w:abstractNumId w:val="39"/>
  </w:num>
  <w:num w:numId="29">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0">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1">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i w:val="0"/>
          <w:iCs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2">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5.%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3">
    <w:abstractNumId w:val="4"/>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4.%2.1."/>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4">
    <w:abstractNumId w:val="2"/>
  </w:num>
  <w:num w:numId="35">
    <w:abstractNumId w:val="6"/>
  </w:num>
  <w:num w:numId="36">
    <w:abstractNumId w:val="35"/>
  </w:num>
  <w:num w:numId="37">
    <w:abstractNumId w:val="43"/>
  </w:num>
  <w:num w:numId="38">
    <w:abstractNumId w:val="41"/>
  </w:num>
  <w:num w:numId="39">
    <w:abstractNumId w:val="3"/>
  </w:num>
  <w:num w:numId="40">
    <w:abstractNumId w:val="11"/>
  </w:num>
  <w:num w:numId="41">
    <w:abstractNumId w:val="18"/>
  </w:num>
  <w:num w:numId="42">
    <w:abstractNumId w:val="31"/>
  </w:num>
  <w:num w:numId="43">
    <w:abstractNumId w:val="33"/>
  </w:num>
  <w:num w:numId="44">
    <w:abstractNumId w:val="23"/>
  </w:num>
  <w:num w:numId="45">
    <w:abstractNumId w:val="14"/>
  </w:num>
  <w:num w:numId="46">
    <w:abstractNumId w:val="1"/>
  </w:num>
  <w:num w:numId="47">
    <w:abstractNumId w:val="0"/>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Restart w:val="1"/>
        <w:lvlText w:val="3.1.%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8">
    <w:abstractNumId w:val="21"/>
  </w:num>
  <w:num w:numId="49">
    <w:abstractNumId w:val="2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D6797E"/>
    <w:rsid w:val="00000C79"/>
    <w:rsid w:val="000018A6"/>
    <w:rsid w:val="000162F7"/>
    <w:rsid w:val="00017CBB"/>
    <w:rsid w:val="00020CE8"/>
    <w:rsid w:val="00032DC2"/>
    <w:rsid w:val="0004292F"/>
    <w:rsid w:val="00064073"/>
    <w:rsid w:val="00071D83"/>
    <w:rsid w:val="00081640"/>
    <w:rsid w:val="000970A4"/>
    <w:rsid w:val="000B2CA9"/>
    <w:rsid w:val="000B582E"/>
    <w:rsid w:val="001050E0"/>
    <w:rsid w:val="00131207"/>
    <w:rsid w:val="001610F4"/>
    <w:rsid w:val="00172153"/>
    <w:rsid w:val="00176700"/>
    <w:rsid w:val="00177453"/>
    <w:rsid w:val="001827A0"/>
    <w:rsid w:val="001C0CDF"/>
    <w:rsid w:val="001C4F27"/>
    <w:rsid w:val="001E0DB8"/>
    <w:rsid w:val="001F1B96"/>
    <w:rsid w:val="001F1D2B"/>
    <w:rsid w:val="001F7E36"/>
    <w:rsid w:val="002111EF"/>
    <w:rsid w:val="00215E64"/>
    <w:rsid w:val="00216D7E"/>
    <w:rsid w:val="0023185A"/>
    <w:rsid w:val="0023785F"/>
    <w:rsid w:val="00240C8B"/>
    <w:rsid w:val="002418AD"/>
    <w:rsid w:val="00247E85"/>
    <w:rsid w:val="00250CC3"/>
    <w:rsid w:val="00275DB1"/>
    <w:rsid w:val="002B1EA9"/>
    <w:rsid w:val="002C5865"/>
    <w:rsid w:val="002D314E"/>
    <w:rsid w:val="002E11E1"/>
    <w:rsid w:val="002E537A"/>
    <w:rsid w:val="0033512D"/>
    <w:rsid w:val="00341747"/>
    <w:rsid w:val="003470D7"/>
    <w:rsid w:val="00352F52"/>
    <w:rsid w:val="00365280"/>
    <w:rsid w:val="003706C7"/>
    <w:rsid w:val="00377B52"/>
    <w:rsid w:val="00390A4E"/>
    <w:rsid w:val="003B082E"/>
    <w:rsid w:val="003D3856"/>
    <w:rsid w:val="003F528E"/>
    <w:rsid w:val="00400B05"/>
    <w:rsid w:val="00405056"/>
    <w:rsid w:val="004327B8"/>
    <w:rsid w:val="004520F2"/>
    <w:rsid w:val="00482FEC"/>
    <w:rsid w:val="004877EB"/>
    <w:rsid w:val="004B68CB"/>
    <w:rsid w:val="004C7A2A"/>
    <w:rsid w:val="004F1B32"/>
    <w:rsid w:val="00510CA8"/>
    <w:rsid w:val="00542E7F"/>
    <w:rsid w:val="00566E0E"/>
    <w:rsid w:val="00582E41"/>
    <w:rsid w:val="005832B0"/>
    <w:rsid w:val="005870D9"/>
    <w:rsid w:val="00587CAC"/>
    <w:rsid w:val="00595388"/>
    <w:rsid w:val="005A6EF7"/>
    <w:rsid w:val="005D1C8C"/>
    <w:rsid w:val="005E1D22"/>
    <w:rsid w:val="005E2F15"/>
    <w:rsid w:val="005E35D2"/>
    <w:rsid w:val="005F5DFC"/>
    <w:rsid w:val="0061045B"/>
    <w:rsid w:val="006148DD"/>
    <w:rsid w:val="00642AA8"/>
    <w:rsid w:val="00645CC1"/>
    <w:rsid w:val="00666123"/>
    <w:rsid w:val="006705A9"/>
    <w:rsid w:val="00684A3C"/>
    <w:rsid w:val="006A57F7"/>
    <w:rsid w:val="006A5CEC"/>
    <w:rsid w:val="006A7193"/>
    <w:rsid w:val="006C08CD"/>
    <w:rsid w:val="006C5DED"/>
    <w:rsid w:val="006D0053"/>
    <w:rsid w:val="006D1976"/>
    <w:rsid w:val="006E3A72"/>
    <w:rsid w:val="006F60E0"/>
    <w:rsid w:val="00723BA0"/>
    <w:rsid w:val="00731296"/>
    <w:rsid w:val="007315D2"/>
    <w:rsid w:val="00747C6C"/>
    <w:rsid w:val="00752CD6"/>
    <w:rsid w:val="007807E3"/>
    <w:rsid w:val="00780D04"/>
    <w:rsid w:val="00790860"/>
    <w:rsid w:val="007A3508"/>
    <w:rsid w:val="007A4FC5"/>
    <w:rsid w:val="007E5464"/>
    <w:rsid w:val="007E7EE9"/>
    <w:rsid w:val="008216FA"/>
    <w:rsid w:val="008334AE"/>
    <w:rsid w:val="008629FC"/>
    <w:rsid w:val="008675A0"/>
    <w:rsid w:val="00871457"/>
    <w:rsid w:val="00871E90"/>
    <w:rsid w:val="008A4F7F"/>
    <w:rsid w:val="008A5397"/>
    <w:rsid w:val="008A5F7D"/>
    <w:rsid w:val="008D62B7"/>
    <w:rsid w:val="00910FC0"/>
    <w:rsid w:val="00961B19"/>
    <w:rsid w:val="009A171F"/>
    <w:rsid w:val="009C5576"/>
    <w:rsid w:val="009D063C"/>
    <w:rsid w:val="009E0B45"/>
    <w:rsid w:val="009F77C4"/>
    <w:rsid w:val="00A17A03"/>
    <w:rsid w:val="00A22C4F"/>
    <w:rsid w:val="00A375A8"/>
    <w:rsid w:val="00A570D2"/>
    <w:rsid w:val="00A67ABD"/>
    <w:rsid w:val="00A72AA7"/>
    <w:rsid w:val="00AA13D8"/>
    <w:rsid w:val="00AB197A"/>
    <w:rsid w:val="00AD6B61"/>
    <w:rsid w:val="00AE3BE2"/>
    <w:rsid w:val="00B07B37"/>
    <w:rsid w:val="00B1094C"/>
    <w:rsid w:val="00B16D7F"/>
    <w:rsid w:val="00B22506"/>
    <w:rsid w:val="00B85574"/>
    <w:rsid w:val="00B92ECA"/>
    <w:rsid w:val="00BB7625"/>
    <w:rsid w:val="00BC643C"/>
    <w:rsid w:val="00BE4898"/>
    <w:rsid w:val="00BE5A99"/>
    <w:rsid w:val="00C0285B"/>
    <w:rsid w:val="00C15801"/>
    <w:rsid w:val="00C255CA"/>
    <w:rsid w:val="00C312EF"/>
    <w:rsid w:val="00C33583"/>
    <w:rsid w:val="00C40ADA"/>
    <w:rsid w:val="00C42F90"/>
    <w:rsid w:val="00C45CA9"/>
    <w:rsid w:val="00C6115E"/>
    <w:rsid w:val="00C83794"/>
    <w:rsid w:val="00C87B20"/>
    <w:rsid w:val="00C93279"/>
    <w:rsid w:val="00CA5ACA"/>
    <w:rsid w:val="00CC057F"/>
    <w:rsid w:val="00CC33C6"/>
    <w:rsid w:val="00CC682D"/>
    <w:rsid w:val="00CD0636"/>
    <w:rsid w:val="00CF2E23"/>
    <w:rsid w:val="00D04422"/>
    <w:rsid w:val="00D1656C"/>
    <w:rsid w:val="00D315A5"/>
    <w:rsid w:val="00D4767E"/>
    <w:rsid w:val="00D6099B"/>
    <w:rsid w:val="00D6797E"/>
    <w:rsid w:val="00D84506"/>
    <w:rsid w:val="00DB5BD0"/>
    <w:rsid w:val="00DD0593"/>
    <w:rsid w:val="00DD5169"/>
    <w:rsid w:val="00DD522B"/>
    <w:rsid w:val="00DE15CB"/>
    <w:rsid w:val="00E16110"/>
    <w:rsid w:val="00E32BD2"/>
    <w:rsid w:val="00E56A4D"/>
    <w:rsid w:val="00E6111A"/>
    <w:rsid w:val="00E62884"/>
    <w:rsid w:val="00E872A6"/>
    <w:rsid w:val="00E90746"/>
    <w:rsid w:val="00E97331"/>
    <w:rsid w:val="00EB6BE7"/>
    <w:rsid w:val="00EC5C34"/>
    <w:rsid w:val="00ED0EA3"/>
    <w:rsid w:val="00F04A9C"/>
    <w:rsid w:val="00F05C5C"/>
    <w:rsid w:val="00F12047"/>
    <w:rsid w:val="00F31092"/>
    <w:rsid w:val="00F34895"/>
    <w:rsid w:val="00F34E19"/>
    <w:rsid w:val="00F60882"/>
    <w:rsid w:val="00F66CC1"/>
    <w:rsid w:val="00F7467F"/>
    <w:rsid w:val="00F91C41"/>
    <w:rsid w:val="00FB0B8A"/>
    <w:rsid w:val="00FB5D4D"/>
    <w:rsid w:val="00FC307D"/>
    <w:rsid w:val="00FC572C"/>
    <w:rsid w:val="00FC5A76"/>
    <w:rsid w:val="00FC7176"/>
    <w:rsid w:val="00FD093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22E1"/>
  <w15:chartTrackingRefBased/>
  <w15:docId w15:val="{29A0465E-41DD-4893-A5D2-E96D328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D67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32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E32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semiHidden/>
    <w:unhideWhenUsed/>
    <w:qFormat/>
    <w:rsid w:val="00F04A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6797E"/>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97E"/>
  </w:style>
  <w:style w:type="paragraph" w:styleId="Noga">
    <w:name w:val="footer"/>
    <w:basedOn w:val="Navaden"/>
    <w:link w:val="NogaZnak"/>
    <w:uiPriority w:val="99"/>
    <w:unhideWhenUsed/>
    <w:rsid w:val="00D6797E"/>
    <w:pPr>
      <w:tabs>
        <w:tab w:val="center" w:pos="4536"/>
        <w:tab w:val="right" w:pos="9072"/>
      </w:tabs>
      <w:spacing w:after="0" w:line="240" w:lineRule="auto"/>
    </w:pPr>
  </w:style>
  <w:style w:type="character" w:customStyle="1" w:styleId="NogaZnak">
    <w:name w:val="Noga Znak"/>
    <w:basedOn w:val="Privzetapisavaodstavka"/>
    <w:link w:val="Noga"/>
    <w:uiPriority w:val="99"/>
    <w:rsid w:val="00D6797E"/>
  </w:style>
  <w:style w:type="character" w:customStyle="1" w:styleId="Naslov1Znak">
    <w:name w:val="Naslov 1 Znak"/>
    <w:basedOn w:val="Privzetapisavaodstavka"/>
    <w:link w:val="Naslov1"/>
    <w:uiPriority w:val="9"/>
    <w:rsid w:val="00D6797E"/>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E32BD2"/>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E32BD2"/>
    <w:pPr>
      <w:ind w:left="720"/>
      <w:contextualSpacing/>
    </w:pPr>
  </w:style>
  <w:style w:type="character" w:customStyle="1" w:styleId="Naslov3Znak">
    <w:name w:val="Naslov 3 Znak"/>
    <w:basedOn w:val="Privzetapisavaodstavka"/>
    <w:link w:val="Naslov3"/>
    <w:uiPriority w:val="9"/>
    <w:rsid w:val="00E32BD2"/>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72AA7"/>
    <w:rPr>
      <w:sz w:val="16"/>
      <w:szCs w:val="16"/>
    </w:rPr>
  </w:style>
  <w:style w:type="paragraph" w:styleId="Pripombabesedilo">
    <w:name w:val="annotation text"/>
    <w:basedOn w:val="Navaden"/>
    <w:link w:val="PripombabesediloZnak"/>
    <w:uiPriority w:val="99"/>
    <w:unhideWhenUsed/>
    <w:rsid w:val="00A72AA7"/>
    <w:pPr>
      <w:spacing w:line="240" w:lineRule="auto"/>
    </w:pPr>
    <w:rPr>
      <w:sz w:val="20"/>
      <w:szCs w:val="20"/>
    </w:rPr>
  </w:style>
  <w:style w:type="character" w:customStyle="1" w:styleId="PripombabesediloZnak">
    <w:name w:val="Pripomba – besedilo Znak"/>
    <w:basedOn w:val="Privzetapisavaodstavka"/>
    <w:link w:val="Pripombabesedilo"/>
    <w:uiPriority w:val="99"/>
    <w:rsid w:val="00A72AA7"/>
    <w:rPr>
      <w:sz w:val="20"/>
      <w:szCs w:val="20"/>
    </w:rPr>
  </w:style>
  <w:style w:type="paragraph" w:styleId="Zadevapripombe">
    <w:name w:val="annotation subject"/>
    <w:basedOn w:val="Pripombabesedilo"/>
    <w:next w:val="Pripombabesedilo"/>
    <w:link w:val="ZadevapripombeZnak"/>
    <w:uiPriority w:val="99"/>
    <w:semiHidden/>
    <w:unhideWhenUsed/>
    <w:rsid w:val="00A72AA7"/>
    <w:rPr>
      <w:b/>
      <w:bCs/>
    </w:rPr>
  </w:style>
  <w:style w:type="character" w:customStyle="1" w:styleId="ZadevapripombeZnak">
    <w:name w:val="Zadeva pripombe Znak"/>
    <w:basedOn w:val="PripombabesediloZnak"/>
    <w:link w:val="Zadevapripombe"/>
    <w:uiPriority w:val="99"/>
    <w:semiHidden/>
    <w:rsid w:val="00A72AA7"/>
    <w:rPr>
      <w:b/>
      <w:bCs/>
      <w:sz w:val="20"/>
      <w:szCs w:val="20"/>
    </w:rPr>
  </w:style>
  <w:style w:type="table" w:styleId="Tabelamrea">
    <w:name w:val="Table Grid"/>
    <w:basedOn w:val="Navadnatabela"/>
    <w:uiPriority w:val="39"/>
    <w:rsid w:val="006C5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C4F27"/>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esedilooblaka">
    <w:name w:val="Balloon Text"/>
    <w:basedOn w:val="Navaden"/>
    <w:link w:val="BesedilooblakaZnak"/>
    <w:uiPriority w:val="99"/>
    <w:semiHidden/>
    <w:unhideWhenUsed/>
    <w:rsid w:val="001C4F27"/>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1C4F27"/>
    <w:rPr>
      <w:rFonts w:ascii="Times New Roman" w:hAnsi="Times New Roman" w:cs="Times New Roman"/>
      <w:sz w:val="18"/>
      <w:szCs w:val="18"/>
    </w:rPr>
  </w:style>
  <w:style w:type="paragraph" w:styleId="Revizija">
    <w:name w:val="Revision"/>
    <w:hidden/>
    <w:uiPriority w:val="99"/>
    <w:semiHidden/>
    <w:rsid w:val="001F7E36"/>
    <w:pPr>
      <w:spacing w:after="0" w:line="240" w:lineRule="auto"/>
    </w:pPr>
  </w:style>
  <w:style w:type="character" w:customStyle="1" w:styleId="Naslov5Znak">
    <w:name w:val="Naslov 5 Znak"/>
    <w:basedOn w:val="Privzetapisavaodstavka"/>
    <w:link w:val="Naslov5"/>
    <w:uiPriority w:val="9"/>
    <w:semiHidden/>
    <w:rsid w:val="00F04A9C"/>
    <w:rPr>
      <w:rFonts w:asciiTheme="majorHAnsi" w:eastAsiaTheme="majorEastAsia" w:hAnsiTheme="majorHAnsi" w:cstheme="majorBidi"/>
      <w:color w:val="2F5496" w:themeColor="accent1" w:themeShade="BF"/>
    </w:rPr>
  </w:style>
  <w:style w:type="paragraph" w:styleId="Sprotnaopomba-besedilo">
    <w:name w:val="footnote text"/>
    <w:basedOn w:val="Navaden"/>
    <w:link w:val="Sprotnaopomba-besediloZnak"/>
    <w:uiPriority w:val="99"/>
    <w:semiHidden/>
    <w:unhideWhenUsed/>
    <w:rsid w:val="00A17A0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7A03"/>
    <w:rPr>
      <w:sz w:val="20"/>
      <w:szCs w:val="20"/>
    </w:rPr>
  </w:style>
  <w:style w:type="character" w:styleId="Sprotnaopomba-sklic">
    <w:name w:val="footnote reference"/>
    <w:basedOn w:val="Privzetapisavaodstavka"/>
    <w:uiPriority w:val="99"/>
    <w:semiHidden/>
    <w:unhideWhenUsed/>
    <w:rsid w:val="00A17A03"/>
    <w:rPr>
      <w:vertAlign w:val="superscript"/>
    </w:rPr>
  </w:style>
  <w:style w:type="paragraph" w:customStyle="1" w:styleId="Default">
    <w:name w:val="Default"/>
    <w:rsid w:val="0059538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17C6D-4EE6-41F7-88E8-9ED830D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3657</Words>
  <Characters>20851</Characters>
  <Application>Microsoft Office Word</Application>
  <DocSecurity>0</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Facility Point</cp:lastModifiedBy>
  <cp:revision>2</cp:revision>
  <cp:lastPrinted>2022-10-26T07:06:00Z</cp:lastPrinted>
  <dcterms:created xsi:type="dcterms:W3CDTF">2022-11-15T15:04:00Z</dcterms:created>
  <dcterms:modified xsi:type="dcterms:W3CDTF">2022-11-15T15:04:00Z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ies>
</file>